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4A0" w:firstRow="1" w:lastRow="0" w:firstColumn="1" w:lastColumn="0" w:noHBand="0" w:noVBand="1"/>
      </w:tblPr>
      <w:tblGrid>
        <w:gridCol w:w="424"/>
        <w:gridCol w:w="1914"/>
        <w:gridCol w:w="86"/>
        <w:gridCol w:w="7357"/>
      </w:tblGrid>
      <w:tr w:rsidR="00CE544A" w:rsidRPr="00975B07" w14:paraId="397BEEB0" w14:textId="77777777" w:rsidTr="00281AD8">
        <w:trPr>
          <w:trHeight w:val="165"/>
        </w:trPr>
        <w:tc>
          <w:tcPr>
            <w:tcW w:w="2390" w:type="dxa"/>
            <w:gridSpan w:val="3"/>
            <w:shd w:val="clear" w:color="auto" w:fill="auto"/>
          </w:tcPr>
          <w:p w14:paraId="5A982CC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7253" w:type="dxa"/>
            <w:shd w:val="clear" w:color="auto" w:fill="auto"/>
          </w:tcPr>
          <w:p w14:paraId="1AFB65C5" w14:textId="77777777" w:rsidR="00F445B1" w:rsidRPr="00F95BC9" w:rsidRDefault="00DB7AD7" w:rsidP="004A6D2F">
            <w:pPr>
              <w:rPr>
                <w:rStyle w:val="Firstpagetablebold"/>
              </w:rPr>
            </w:pPr>
            <w:r>
              <w:rPr>
                <w:rStyle w:val="Firstpagetablebold"/>
              </w:rPr>
              <w:t>Cabinet</w:t>
            </w:r>
          </w:p>
        </w:tc>
      </w:tr>
      <w:tr w:rsidR="00CE544A" w:rsidRPr="00975B07" w14:paraId="7BFDD262" w14:textId="77777777" w:rsidTr="00281AD8">
        <w:trPr>
          <w:trHeight w:val="165"/>
        </w:trPr>
        <w:tc>
          <w:tcPr>
            <w:tcW w:w="2390" w:type="dxa"/>
            <w:gridSpan w:val="3"/>
            <w:shd w:val="clear" w:color="auto" w:fill="auto"/>
          </w:tcPr>
          <w:p w14:paraId="6280B1A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7253" w:type="dxa"/>
            <w:shd w:val="clear" w:color="auto" w:fill="auto"/>
          </w:tcPr>
          <w:p w14:paraId="7E2C13BA" w14:textId="1151ABC1" w:rsidR="00F445B1" w:rsidRPr="001356F1" w:rsidRDefault="00150837" w:rsidP="00150837">
            <w:pPr>
              <w:rPr>
                <w:b/>
              </w:rPr>
            </w:pPr>
            <w:r>
              <w:rPr>
                <w:rStyle w:val="Firstpagetablebold"/>
              </w:rPr>
              <w:t>22 January</w:t>
            </w:r>
            <w:r w:rsidR="00F1518B">
              <w:rPr>
                <w:rStyle w:val="Firstpagetablebold"/>
              </w:rPr>
              <w:t xml:space="preserve"> 20</w:t>
            </w:r>
            <w:r>
              <w:rPr>
                <w:rStyle w:val="Firstpagetablebold"/>
              </w:rPr>
              <w:t>20</w:t>
            </w:r>
          </w:p>
        </w:tc>
      </w:tr>
      <w:tr w:rsidR="00CE544A" w:rsidRPr="00975B07" w14:paraId="7E63108B" w14:textId="77777777" w:rsidTr="00281AD8">
        <w:trPr>
          <w:trHeight w:val="159"/>
        </w:trPr>
        <w:tc>
          <w:tcPr>
            <w:tcW w:w="2390" w:type="dxa"/>
            <w:gridSpan w:val="3"/>
            <w:shd w:val="clear" w:color="auto" w:fill="auto"/>
          </w:tcPr>
          <w:p w14:paraId="537CF7B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7253" w:type="dxa"/>
            <w:shd w:val="clear" w:color="auto" w:fill="auto"/>
          </w:tcPr>
          <w:p w14:paraId="7C37A933" w14:textId="77777777" w:rsidR="00F445B1" w:rsidRPr="001356F1" w:rsidRDefault="00273A39" w:rsidP="00273A39">
            <w:pPr>
              <w:rPr>
                <w:rStyle w:val="Firstpagetablebold"/>
              </w:rPr>
            </w:pPr>
            <w:r>
              <w:rPr>
                <w:rStyle w:val="Firstpagetablebold"/>
              </w:rPr>
              <w:t>Tim Sadler</w:t>
            </w:r>
            <w:r w:rsidR="00F1518B">
              <w:rPr>
                <w:rStyle w:val="Firstpagetablebold"/>
              </w:rPr>
              <w:t xml:space="preserve">, </w:t>
            </w:r>
            <w:r>
              <w:rPr>
                <w:rStyle w:val="Firstpagetablebold"/>
              </w:rPr>
              <w:t>Transition Director</w:t>
            </w:r>
          </w:p>
        </w:tc>
      </w:tr>
      <w:tr w:rsidR="00CE544A" w:rsidRPr="00975B07" w14:paraId="7F87BA5A" w14:textId="77777777" w:rsidTr="00281AD8">
        <w:trPr>
          <w:trHeight w:val="323"/>
        </w:trPr>
        <w:tc>
          <w:tcPr>
            <w:tcW w:w="2390" w:type="dxa"/>
            <w:gridSpan w:val="3"/>
            <w:shd w:val="clear" w:color="auto" w:fill="auto"/>
          </w:tcPr>
          <w:p w14:paraId="397EB0FD" w14:textId="77777777" w:rsidR="00F445B1" w:rsidRPr="00975B07" w:rsidRDefault="00F445B1" w:rsidP="004A6D2F">
            <w:pPr>
              <w:rPr>
                <w:rStyle w:val="Firstpagetablebold"/>
              </w:rPr>
            </w:pPr>
            <w:r w:rsidRPr="00975B07">
              <w:rPr>
                <w:rStyle w:val="Firstpagetablebold"/>
              </w:rPr>
              <w:t xml:space="preserve">Title of Report: </w:t>
            </w:r>
          </w:p>
        </w:tc>
        <w:tc>
          <w:tcPr>
            <w:tcW w:w="7253" w:type="dxa"/>
            <w:shd w:val="clear" w:color="auto" w:fill="auto"/>
          </w:tcPr>
          <w:p w14:paraId="4C58A390" w14:textId="21068F59" w:rsidR="00F445B1" w:rsidRPr="001356F1" w:rsidRDefault="00794911" w:rsidP="00794911">
            <w:pPr>
              <w:rPr>
                <w:rStyle w:val="Firstpagetablebold"/>
              </w:rPr>
            </w:pPr>
            <w:r>
              <w:rPr>
                <w:b/>
              </w:rPr>
              <w:t>Becoming a net</w:t>
            </w:r>
            <w:r w:rsidR="00150837">
              <w:rPr>
                <w:b/>
              </w:rPr>
              <w:t xml:space="preserve"> zero council in terms of green</w:t>
            </w:r>
            <w:r>
              <w:rPr>
                <w:b/>
              </w:rPr>
              <w:t xml:space="preserve">house gas emissions - </w:t>
            </w:r>
            <w:r w:rsidR="00F1518B" w:rsidRPr="006B2D6C">
              <w:rPr>
                <w:b/>
              </w:rPr>
              <w:t>Energy</w:t>
            </w:r>
            <w:r w:rsidR="00F1518B">
              <w:rPr>
                <w:b/>
              </w:rPr>
              <w:t xml:space="preserve"> </w:t>
            </w:r>
            <w:r w:rsidR="00F1518B" w:rsidRPr="006B2D6C">
              <w:rPr>
                <w:b/>
              </w:rPr>
              <w:t>&amp;</w:t>
            </w:r>
            <w:r w:rsidR="00F1518B">
              <w:rPr>
                <w:b/>
              </w:rPr>
              <w:t xml:space="preserve"> </w:t>
            </w:r>
            <w:r w:rsidR="00F1518B" w:rsidRPr="006B2D6C">
              <w:rPr>
                <w:b/>
              </w:rPr>
              <w:t xml:space="preserve">Water Supply </w:t>
            </w:r>
            <w:r w:rsidR="00F1518B">
              <w:rPr>
                <w:b/>
              </w:rPr>
              <w:t>Procurement 2020 to 2024</w:t>
            </w:r>
            <w:r w:rsidR="00A32929">
              <w:rPr>
                <w:b/>
              </w:rPr>
              <w:t xml:space="preserve"> </w:t>
            </w:r>
          </w:p>
        </w:tc>
      </w:tr>
      <w:tr w:rsidR="00D5547E" w14:paraId="7F3312A0"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
        </w:trPr>
        <w:tc>
          <w:tcPr>
            <w:tcW w:w="9643" w:type="dxa"/>
            <w:gridSpan w:val="4"/>
            <w:tcBorders>
              <w:bottom w:val="single" w:sz="8" w:space="0" w:color="000000"/>
            </w:tcBorders>
            <w:hideMark/>
          </w:tcPr>
          <w:p w14:paraId="1505163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F12C4D6"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trPr>
        <w:tc>
          <w:tcPr>
            <w:tcW w:w="2390" w:type="dxa"/>
            <w:gridSpan w:val="3"/>
            <w:tcBorders>
              <w:top w:val="single" w:sz="8" w:space="0" w:color="000000"/>
              <w:left w:val="single" w:sz="8" w:space="0" w:color="000000"/>
              <w:bottom w:val="nil"/>
              <w:right w:val="nil"/>
            </w:tcBorders>
            <w:hideMark/>
          </w:tcPr>
          <w:p w14:paraId="655E769D" w14:textId="77777777" w:rsidR="00D5547E" w:rsidRDefault="00D5547E">
            <w:pPr>
              <w:rPr>
                <w:rStyle w:val="Firstpagetablebold"/>
              </w:rPr>
            </w:pPr>
            <w:r>
              <w:rPr>
                <w:rStyle w:val="Firstpagetablebold"/>
              </w:rPr>
              <w:t>Purpose of report:</w:t>
            </w:r>
          </w:p>
        </w:tc>
        <w:tc>
          <w:tcPr>
            <w:tcW w:w="7253" w:type="dxa"/>
            <w:tcBorders>
              <w:top w:val="single" w:sz="8" w:space="0" w:color="000000"/>
              <w:left w:val="nil"/>
              <w:bottom w:val="nil"/>
              <w:right w:val="single" w:sz="8" w:space="0" w:color="000000"/>
            </w:tcBorders>
            <w:hideMark/>
          </w:tcPr>
          <w:p w14:paraId="73F953DA" w14:textId="77777777" w:rsidR="00D5547E" w:rsidRPr="001356F1" w:rsidRDefault="00480335" w:rsidP="00480335">
            <w:r>
              <w:rPr>
                <w:rFonts w:eastAsia="Arial Unicode MS" w:cs="Arial Unicode MS"/>
                <w:lang w:val="en-US"/>
              </w:rPr>
              <w:t xml:space="preserve">To approve parameters and approach for the procurement of energy and water for the period </w:t>
            </w:r>
            <w:r w:rsidR="00F1518B" w:rsidRPr="00F80174">
              <w:rPr>
                <w:rFonts w:cs="Arial"/>
              </w:rPr>
              <w:t>period 1 October 20</w:t>
            </w:r>
            <w:r w:rsidR="00F1518B">
              <w:rPr>
                <w:rFonts w:cs="Arial"/>
              </w:rPr>
              <w:t>20</w:t>
            </w:r>
            <w:r w:rsidR="00F1518B" w:rsidRPr="00F80174">
              <w:rPr>
                <w:rFonts w:cs="Arial"/>
              </w:rPr>
              <w:t xml:space="preserve"> to 30 September 20</w:t>
            </w:r>
            <w:r w:rsidR="00F1518B">
              <w:rPr>
                <w:rFonts w:cs="Arial"/>
              </w:rPr>
              <w:t>24</w:t>
            </w:r>
            <w:r>
              <w:t xml:space="preserve"> with a view to Oxford City Council becoming a net zero carbon council in terms of energy usage.</w:t>
            </w:r>
          </w:p>
        </w:tc>
      </w:tr>
      <w:tr w:rsidR="00D5547E" w14:paraId="7F9526AB"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9"/>
        </w:trPr>
        <w:tc>
          <w:tcPr>
            <w:tcW w:w="2390" w:type="dxa"/>
            <w:gridSpan w:val="3"/>
            <w:tcBorders>
              <w:top w:val="nil"/>
              <w:left w:val="single" w:sz="8" w:space="0" w:color="000000"/>
              <w:bottom w:val="nil"/>
              <w:right w:val="nil"/>
            </w:tcBorders>
            <w:hideMark/>
          </w:tcPr>
          <w:p w14:paraId="4E161C49" w14:textId="77777777" w:rsidR="00D5547E" w:rsidRDefault="00D5547E">
            <w:pPr>
              <w:rPr>
                <w:rStyle w:val="Firstpagetablebold"/>
              </w:rPr>
            </w:pPr>
            <w:r>
              <w:rPr>
                <w:rStyle w:val="Firstpagetablebold"/>
              </w:rPr>
              <w:t>Key decision:</w:t>
            </w:r>
          </w:p>
        </w:tc>
        <w:tc>
          <w:tcPr>
            <w:tcW w:w="7253" w:type="dxa"/>
            <w:tcBorders>
              <w:top w:val="nil"/>
              <w:left w:val="nil"/>
              <w:bottom w:val="nil"/>
              <w:right w:val="single" w:sz="8" w:space="0" w:color="000000"/>
            </w:tcBorders>
            <w:hideMark/>
          </w:tcPr>
          <w:p w14:paraId="4147EE7E" w14:textId="77777777" w:rsidR="00D5547E" w:rsidRPr="001356F1" w:rsidRDefault="00D5547E" w:rsidP="00F1518B">
            <w:r w:rsidRPr="001356F1">
              <w:t>Yes</w:t>
            </w:r>
          </w:p>
        </w:tc>
      </w:tr>
      <w:tr w:rsidR="00D5547E" w14:paraId="41BB1E10"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
        </w:trPr>
        <w:tc>
          <w:tcPr>
            <w:tcW w:w="2390" w:type="dxa"/>
            <w:gridSpan w:val="3"/>
            <w:tcBorders>
              <w:top w:val="nil"/>
              <w:left w:val="single" w:sz="8" w:space="0" w:color="000000"/>
              <w:bottom w:val="nil"/>
              <w:right w:val="nil"/>
            </w:tcBorders>
            <w:hideMark/>
          </w:tcPr>
          <w:p w14:paraId="17F9789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7253" w:type="dxa"/>
            <w:tcBorders>
              <w:top w:val="nil"/>
              <w:left w:val="nil"/>
              <w:bottom w:val="nil"/>
              <w:right w:val="single" w:sz="8" w:space="0" w:color="000000"/>
            </w:tcBorders>
            <w:hideMark/>
          </w:tcPr>
          <w:p w14:paraId="5894061B" w14:textId="77777777" w:rsidR="00D5547E" w:rsidRPr="001356F1" w:rsidRDefault="00D5547E" w:rsidP="00F1518B">
            <w:r w:rsidRPr="001356F1">
              <w:t xml:space="preserve">Councillor </w:t>
            </w:r>
            <w:r w:rsidR="00F1518B">
              <w:t>Tom Hayes</w:t>
            </w:r>
            <w:r w:rsidRPr="001356F1">
              <w:t xml:space="preserve">, </w:t>
            </w:r>
            <w:r w:rsidR="00F1518B">
              <w:t>Zero Carbon Oxford</w:t>
            </w:r>
          </w:p>
        </w:tc>
      </w:tr>
      <w:tr w:rsidR="0080749A" w14:paraId="0A6FDA08"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
        </w:trPr>
        <w:tc>
          <w:tcPr>
            <w:tcW w:w="2390" w:type="dxa"/>
            <w:gridSpan w:val="3"/>
            <w:tcBorders>
              <w:top w:val="nil"/>
              <w:left w:val="single" w:sz="8" w:space="0" w:color="000000"/>
              <w:bottom w:val="nil"/>
              <w:right w:val="nil"/>
            </w:tcBorders>
          </w:tcPr>
          <w:p w14:paraId="427D2700" w14:textId="77777777" w:rsidR="0080749A" w:rsidRDefault="0080749A">
            <w:pPr>
              <w:rPr>
                <w:rStyle w:val="Firstpagetablebold"/>
              </w:rPr>
            </w:pPr>
            <w:r>
              <w:rPr>
                <w:rStyle w:val="Firstpagetablebold"/>
              </w:rPr>
              <w:t>Corporate Priority:</w:t>
            </w:r>
          </w:p>
        </w:tc>
        <w:tc>
          <w:tcPr>
            <w:tcW w:w="7253" w:type="dxa"/>
            <w:tcBorders>
              <w:top w:val="nil"/>
              <w:left w:val="nil"/>
              <w:bottom w:val="nil"/>
              <w:right w:val="single" w:sz="8" w:space="0" w:color="000000"/>
            </w:tcBorders>
          </w:tcPr>
          <w:p w14:paraId="564E0703" w14:textId="11AB4D58" w:rsidR="0080749A" w:rsidRPr="001356F1" w:rsidRDefault="00C9370C" w:rsidP="005F7F7E">
            <w:r w:rsidRPr="00272AAD">
              <w:t xml:space="preserve">A </w:t>
            </w:r>
            <w:r>
              <w:t>C</w:t>
            </w:r>
            <w:r w:rsidRPr="00272AAD">
              <w:t xml:space="preserve">lean </w:t>
            </w:r>
            <w:r>
              <w:t>G</w:t>
            </w:r>
            <w:r w:rsidRPr="00272AAD">
              <w:t>reen Oxford</w:t>
            </w:r>
          </w:p>
        </w:tc>
      </w:tr>
      <w:tr w:rsidR="00D5547E" w14:paraId="689128ED"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
        </w:trPr>
        <w:tc>
          <w:tcPr>
            <w:tcW w:w="2390" w:type="dxa"/>
            <w:gridSpan w:val="3"/>
            <w:tcBorders>
              <w:top w:val="nil"/>
              <w:left w:val="single" w:sz="8" w:space="0" w:color="000000"/>
              <w:bottom w:val="nil"/>
              <w:right w:val="nil"/>
            </w:tcBorders>
            <w:hideMark/>
          </w:tcPr>
          <w:p w14:paraId="000C1384" w14:textId="77777777" w:rsidR="00D5547E" w:rsidRDefault="00D5547E">
            <w:pPr>
              <w:rPr>
                <w:rStyle w:val="Firstpagetablebold"/>
              </w:rPr>
            </w:pPr>
            <w:r>
              <w:rPr>
                <w:rStyle w:val="Firstpagetablebold"/>
              </w:rPr>
              <w:t>Policy Framework:</w:t>
            </w:r>
          </w:p>
        </w:tc>
        <w:tc>
          <w:tcPr>
            <w:tcW w:w="7253" w:type="dxa"/>
            <w:tcBorders>
              <w:top w:val="nil"/>
              <w:left w:val="nil"/>
              <w:bottom w:val="nil"/>
              <w:right w:val="single" w:sz="8" w:space="0" w:color="000000"/>
            </w:tcBorders>
            <w:hideMark/>
          </w:tcPr>
          <w:p w14:paraId="6A5561AD" w14:textId="3172EAB3" w:rsidR="00D5547E" w:rsidRPr="001356F1" w:rsidRDefault="00C9370C" w:rsidP="005F7F7E">
            <w:r>
              <w:t>Corporate Plan 2016-2020</w:t>
            </w:r>
            <w:bookmarkStart w:id="0" w:name="_GoBack"/>
            <w:bookmarkEnd w:id="0"/>
          </w:p>
        </w:tc>
      </w:tr>
      <w:tr w:rsidR="005F7F7E" w:rsidRPr="00975B07" w14:paraId="48781E2F"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1"/>
        </w:trPr>
        <w:tc>
          <w:tcPr>
            <w:tcW w:w="9643" w:type="dxa"/>
            <w:gridSpan w:val="4"/>
            <w:tcBorders>
              <w:bottom w:val="single" w:sz="8" w:space="0" w:color="000000"/>
            </w:tcBorders>
          </w:tcPr>
          <w:p w14:paraId="23DBF5F9" w14:textId="05B0642E" w:rsidR="005F7F7E" w:rsidRPr="00975B07" w:rsidRDefault="00150837" w:rsidP="00150837">
            <w:proofErr w:type="spellStart"/>
            <w:r>
              <w:rPr>
                <w:rStyle w:val="Firstpagetablebold"/>
              </w:rPr>
              <w:t>Recommendation</w:t>
            </w:r>
            <w:r w:rsidR="005F7F7E">
              <w:rPr>
                <w:rStyle w:val="Firstpagetablebold"/>
              </w:rPr>
              <w:t>s:</w:t>
            </w:r>
            <w:r w:rsidR="005F7F7E" w:rsidRPr="00150837">
              <w:rPr>
                <w:rStyle w:val="Firstpagetablebold"/>
                <w:b w:val="0"/>
              </w:rPr>
              <w:t>That</w:t>
            </w:r>
            <w:proofErr w:type="spellEnd"/>
            <w:r w:rsidR="005F7F7E" w:rsidRPr="00150837">
              <w:rPr>
                <w:rStyle w:val="Firstpagetablebold"/>
                <w:b w:val="0"/>
              </w:rPr>
              <w:t xml:space="preserve"> </w:t>
            </w:r>
            <w:r w:rsidR="00DB7AD7" w:rsidRPr="00150837">
              <w:rPr>
                <w:rStyle w:val="Firstpagetablebold"/>
                <w:b w:val="0"/>
              </w:rPr>
              <w:t>Cabinet</w:t>
            </w:r>
            <w:r w:rsidR="005F7F7E" w:rsidRPr="00150837">
              <w:rPr>
                <w:rStyle w:val="Firstpagetablebold"/>
                <w:b w:val="0"/>
              </w:rPr>
              <w:t xml:space="preserve"> resolves to:</w:t>
            </w:r>
          </w:p>
        </w:tc>
      </w:tr>
      <w:tr w:rsidR="0030208D" w:rsidRPr="00975B07" w14:paraId="70281DBC" w14:textId="77777777" w:rsidTr="00C80D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7"/>
        </w:trPr>
        <w:tc>
          <w:tcPr>
            <w:tcW w:w="418" w:type="dxa"/>
            <w:tcBorders>
              <w:top w:val="single" w:sz="8" w:space="0" w:color="000000"/>
              <w:left w:val="single" w:sz="8" w:space="0" w:color="000000"/>
              <w:bottom w:val="nil"/>
              <w:right w:val="nil"/>
            </w:tcBorders>
          </w:tcPr>
          <w:p w14:paraId="432ACAEA" w14:textId="70E67B34" w:rsidR="0030208D" w:rsidRPr="00975B07" w:rsidRDefault="0030208D" w:rsidP="004A6D2F"/>
        </w:tc>
        <w:tc>
          <w:tcPr>
            <w:tcW w:w="9225" w:type="dxa"/>
            <w:gridSpan w:val="3"/>
            <w:tcBorders>
              <w:top w:val="single" w:sz="8" w:space="0" w:color="000000"/>
              <w:left w:val="nil"/>
              <w:bottom w:val="nil"/>
              <w:right w:val="single" w:sz="8" w:space="0" w:color="000000"/>
            </w:tcBorders>
            <w:shd w:val="clear" w:color="auto" w:fill="auto"/>
          </w:tcPr>
          <w:p w14:paraId="5BB744AE" w14:textId="47A6BB2B" w:rsidR="00954069" w:rsidRPr="006672EB" w:rsidRDefault="00150837" w:rsidP="006672EB">
            <w:pPr>
              <w:pStyle w:val="Body"/>
              <w:rPr>
                <w:b/>
                <w:bCs/>
                <w:lang w:val="en-US"/>
              </w:rPr>
            </w:pPr>
            <w:r w:rsidRPr="00150837">
              <w:rPr>
                <w:bCs/>
                <w:lang w:val="en-US"/>
              </w:rPr>
              <w:t>1</w:t>
            </w:r>
            <w:r>
              <w:rPr>
                <w:b/>
                <w:bCs/>
                <w:lang w:val="en-US"/>
              </w:rPr>
              <w:t xml:space="preserve">. </w:t>
            </w:r>
            <w:r w:rsidR="00CD75FE" w:rsidRPr="00150837">
              <w:rPr>
                <w:b/>
                <w:bCs/>
                <w:lang w:val="en-US"/>
              </w:rPr>
              <w:t>Approve</w:t>
            </w:r>
            <w:r w:rsidR="00CD75FE" w:rsidRPr="003311FE">
              <w:rPr>
                <w:bCs/>
                <w:lang w:val="en-US"/>
              </w:rPr>
              <w:t xml:space="preserve"> the procurement strategy of seeking</w:t>
            </w:r>
            <w:r w:rsidR="00CD75FE">
              <w:rPr>
                <w:b/>
                <w:bCs/>
                <w:lang w:val="en-US"/>
              </w:rPr>
              <w:t xml:space="preserve"> </w:t>
            </w:r>
            <w:r w:rsidR="005C3AFA">
              <w:t>t</w:t>
            </w:r>
            <w:r w:rsidR="00427D0D" w:rsidRPr="00533120">
              <w:t>he purchase of certified renewable electricity and renewable gas supplies</w:t>
            </w:r>
            <w:r>
              <w:t>;</w:t>
            </w:r>
            <w:r w:rsidR="00427D0D" w:rsidRPr="00533120">
              <w:t xml:space="preserve"> </w:t>
            </w:r>
          </w:p>
          <w:p w14:paraId="20D2A09A" w14:textId="2B85A633" w:rsidR="005C3AFA" w:rsidRDefault="00427D0D" w:rsidP="00150837">
            <w:r>
              <w:t>2</w:t>
            </w:r>
            <w:r w:rsidRPr="00150837">
              <w:rPr>
                <w:rFonts w:eastAsia="Arial" w:cs="Arial"/>
                <w:bCs/>
                <w:u w:color="000000"/>
                <w:bdr w:val="nil"/>
                <w:lang w:val="en-US"/>
                <w14:textOutline w14:w="0" w14:cap="flat" w14:cmpd="sng" w14:algn="ctr">
                  <w14:noFill/>
                  <w14:prstDash w14:val="solid"/>
                  <w14:bevel/>
                </w14:textOutline>
              </w:rPr>
              <w:t xml:space="preserve">. </w:t>
            </w:r>
            <w:proofErr w:type="spellStart"/>
            <w:r w:rsidR="00150837" w:rsidRPr="00150837">
              <w:rPr>
                <w:rFonts w:eastAsia="Arial" w:cs="Arial"/>
                <w:b/>
                <w:bCs/>
                <w:u w:color="000000"/>
                <w:bdr w:val="nil"/>
                <w:lang w:val="en-US"/>
                <w14:textOutline w14:w="0" w14:cap="flat" w14:cmpd="sng" w14:algn="ctr">
                  <w14:noFill/>
                  <w14:prstDash w14:val="solid"/>
                  <w14:bevel/>
                </w14:textOutline>
              </w:rPr>
              <w:t>A</w:t>
            </w:r>
            <w:r w:rsidR="00CD75FE" w:rsidRPr="00150837">
              <w:rPr>
                <w:rFonts w:eastAsia="Arial" w:cs="Arial"/>
                <w:b/>
                <w:bCs/>
                <w:u w:color="000000"/>
                <w:bdr w:val="nil"/>
                <w:lang w:val="en-US"/>
                <w14:textOutline w14:w="0" w14:cap="flat" w14:cmpd="sng" w14:algn="ctr">
                  <w14:noFill/>
                  <w14:prstDash w14:val="solid"/>
                  <w14:bevel/>
                </w14:textOutline>
              </w:rPr>
              <w:t>uthorise</w:t>
            </w:r>
            <w:proofErr w:type="spellEnd"/>
            <w:r w:rsidR="00CD75FE" w:rsidRPr="00150837">
              <w:rPr>
                <w:rFonts w:eastAsia="Arial" w:cs="Arial"/>
                <w:bCs/>
                <w:u w:color="000000"/>
                <w:bdr w:val="nil"/>
                <w:lang w:val="en-US"/>
                <w14:textOutline w14:w="0" w14:cap="flat" w14:cmpd="sng" w14:algn="ctr">
                  <w14:noFill/>
                  <w14:prstDash w14:val="solid"/>
                  <w14:bevel/>
                </w14:textOutline>
              </w:rPr>
              <w:t xml:space="preserve"> officers to explore options</w:t>
            </w:r>
            <w:r w:rsidR="005C3AFA" w:rsidRPr="00150837">
              <w:rPr>
                <w:rFonts w:eastAsia="Arial" w:cs="Arial"/>
                <w:bCs/>
                <w:u w:color="000000"/>
                <w:bdr w:val="nil"/>
                <w:lang w:val="en-US"/>
                <w14:textOutline w14:w="0" w14:cap="flat" w14:cmpd="sng" w14:algn="ctr">
                  <w14:noFill/>
                  <w14:prstDash w14:val="solid"/>
                  <w14:bevel/>
                </w14:textOutline>
              </w:rPr>
              <w:t xml:space="preserve"> </w:t>
            </w:r>
            <w:r w:rsidRPr="00150837">
              <w:rPr>
                <w:rFonts w:eastAsia="Arial" w:cs="Arial"/>
                <w:bCs/>
                <w:u w:color="000000"/>
                <w:bdr w:val="nil"/>
                <w:lang w:val="en-US"/>
                <w14:textOutline w14:w="0" w14:cap="flat" w14:cmpd="sng" w14:algn="ctr">
                  <w14:noFill/>
                  <w14:prstDash w14:val="solid"/>
                  <w14:bevel/>
                </w14:textOutline>
              </w:rPr>
              <w:t xml:space="preserve">to better stimulate investment in new </w:t>
            </w:r>
            <w:r w:rsidR="00CD75FE" w:rsidRPr="00150837">
              <w:rPr>
                <w:rFonts w:eastAsia="Arial" w:cs="Arial"/>
                <w:bCs/>
                <w:u w:color="000000"/>
                <w:bdr w:val="nil"/>
                <w:lang w:val="en-US"/>
                <w14:textOutline w14:w="0" w14:cap="flat" w14:cmpd="sng" w14:algn="ctr">
                  <w14:noFill/>
                  <w14:prstDash w14:val="solid"/>
                  <w14:bevel/>
                </w14:textOutline>
              </w:rPr>
              <w:t xml:space="preserve">local </w:t>
            </w:r>
            <w:r w:rsidRPr="00150837">
              <w:rPr>
                <w:rFonts w:eastAsia="Arial" w:cs="Arial"/>
                <w:bCs/>
                <w:u w:color="000000"/>
                <w:bdr w:val="nil"/>
                <w:lang w:val="en-US"/>
                <w14:textOutline w14:w="0" w14:cap="flat" w14:cmpd="sng" w14:algn="ctr">
                  <w14:noFill/>
                  <w14:prstDash w14:val="solid"/>
                  <w14:bevel/>
                </w14:textOutline>
              </w:rPr>
              <w:t>renewable energy generation through a corporate Power Purchase Agreement (PPA) approach for the council’s energy supplies</w:t>
            </w:r>
            <w:r w:rsidR="00150837">
              <w:rPr>
                <w:rFonts w:eastAsia="Arial" w:cs="Arial"/>
                <w:bCs/>
                <w:u w:color="000000"/>
                <w:bdr w:val="nil"/>
                <w:lang w:val="en-US"/>
                <w14:textOutline w14:w="0" w14:cap="flat" w14:cmpd="sng" w14:algn="ctr">
                  <w14:noFill/>
                  <w14:prstDash w14:val="solid"/>
                  <w14:bevel/>
                </w14:textOutline>
              </w:rPr>
              <w:t>;</w:t>
            </w:r>
            <w:r>
              <w:t xml:space="preserve">  </w:t>
            </w:r>
          </w:p>
          <w:p w14:paraId="4B68022C" w14:textId="77D81405" w:rsidR="0030208D" w:rsidRPr="001356F1" w:rsidRDefault="00427D0D" w:rsidP="00C80D20">
            <w:r>
              <w:rPr>
                <w:rFonts w:cs="Arial"/>
              </w:rPr>
              <w:t xml:space="preserve">3. </w:t>
            </w:r>
            <w:r w:rsidR="00C80D20" w:rsidRPr="00C80D20">
              <w:rPr>
                <w:rFonts w:cs="Arial"/>
                <w:b/>
              </w:rPr>
              <w:t>Approve</w:t>
            </w:r>
            <w:r w:rsidR="00C80D20">
              <w:rPr>
                <w:rFonts w:cs="Arial"/>
              </w:rPr>
              <w:t xml:space="preserve"> (subject to 2 above)</w:t>
            </w:r>
            <w:r w:rsidR="00B8364D">
              <w:rPr>
                <w:rFonts w:cs="Arial"/>
              </w:rPr>
              <w:t xml:space="preserve"> </w:t>
            </w:r>
            <w:r w:rsidR="00633FAE">
              <w:rPr>
                <w:rFonts w:cs="Arial"/>
              </w:rPr>
              <w:t>the use of</w:t>
            </w:r>
            <w:r w:rsidR="00633FAE" w:rsidRPr="00F80174">
              <w:rPr>
                <w:rFonts w:cs="Arial"/>
              </w:rPr>
              <w:t xml:space="preserve"> the Kent County Council energy procurement framework via its trading arm LASER (the specialist public sector energy buying organisation) for</w:t>
            </w:r>
            <w:r w:rsidR="00A87463">
              <w:rPr>
                <w:rFonts w:cs="Arial"/>
              </w:rPr>
              <w:t xml:space="preserve"> up to</w:t>
            </w:r>
            <w:r w:rsidR="00633FAE" w:rsidRPr="00F80174">
              <w:rPr>
                <w:rFonts w:cs="Arial"/>
              </w:rPr>
              <w:t xml:space="preserve"> a further four years (</w:t>
            </w:r>
            <w:r w:rsidR="000444D4">
              <w:rPr>
                <w:rFonts w:cs="Arial"/>
              </w:rPr>
              <w:t>2020-2024</w:t>
            </w:r>
            <w:r w:rsidR="00633FAE" w:rsidRPr="00F80174">
              <w:rPr>
                <w:rFonts w:cs="Arial"/>
              </w:rPr>
              <w:t xml:space="preserve">) to procure the Council’s energy </w:t>
            </w:r>
            <w:r w:rsidR="000444D4">
              <w:rPr>
                <w:rFonts w:cs="Arial"/>
              </w:rPr>
              <w:t xml:space="preserve">and water </w:t>
            </w:r>
            <w:r w:rsidR="00633FAE" w:rsidRPr="00F80174">
              <w:rPr>
                <w:rFonts w:cs="Arial"/>
              </w:rPr>
              <w:t>contracts from October 20</w:t>
            </w:r>
            <w:r w:rsidR="000444D4">
              <w:rPr>
                <w:rFonts w:cs="Arial"/>
              </w:rPr>
              <w:t>20</w:t>
            </w:r>
            <w:r w:rsidR="002069B3" w:rsidRPr="001356F1">
              <w:t>;</w:t>
            </w:r>
            <w:r w:rsidR="0030208D" w:rsidRPr="001356F1">
              <w:t xml:space="preserve"> </w:t>
            </w:r>
          </w:p>
        </w:tc>
      </w:tr>
      <w:tr w:rsidR="0030208D" w:rsidRPr="00975B07" w14:paraId="55FE5F35" w14:textId="77777777" w:rsidTr="00C80D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7"/>
        </w:trPr>
        <w:tc>
          <w:tcPr>
            <w:tcW w:w="418" w:type="dxa"/>
            <w:tcBorders>
              <w:top w:val="nil"/>
              <w:left w:val="single" w:sz="8" w:space="0" w:color="000000"/>
              <w:bottom w:val="single" w:sz="4" w:space="0" w:color="auto"/>
              <w:right w:val="nil"/>
            </w:tcBorders>
          </w:tcPr>
          <w:p w14:paraId="4E09A7A3" w14:textId="77777777" w:rsidR="0030208D" w:rsidRPr="00975B07" w:rsidRDefault="0030208D" w:rsidP="004A6D2F"/>
        </w:tc>
        <w:tc>
          <w:tcPr>
            <w:tcW w:w="9225" w:type="dxa"/>
            <w:gridSpan w:val="3"/>
            <w:tcBorders>
              <w:top w:val="nil"/>
              <w:left w:val="nil"/>
              <w:bottom w:val="single" w:sz="4" w:space="0" w:color="auto"/>
              <w:right w:val="single" w:sz="8" w:space="0" w:color="000000"/>
            </w:tcBorders>
            <w:shd w:val="clear" w:color="auto" w:fill="auto"/>
          </w:tcPr>
          <w:p w14:paraId="6370F93F" w14:textId="7B580277" w:rsidR="0030208D" w:rsidRDefault="00427D0D" w:rsidP="00E64172">
            <w:r>
              <w:rPr>
                <w:rFonts w:cs="Arial"/>
              </w:rPr>
              <w:t xml:space="preserve">4. </w:t>
            </w:r>
            <w:r w:rsidR="00150837" w:rsidRPr="00150837">
              <w:rPr>
                <w:rFonts w:cs="Arial"/>
                <w:b/>
              </w:rPr>
              <w:t>Approve</w:t>
            </w:r>
            <w:r w:rsidR="00150837">
              <w:rPr>
                <w:rFonts w:cs="Arial"/>
              </w:rPr>
              <w:t xml:space="preserve"> </w:t>
            </w:r>
            <w:r w:rsidR="00633FAE" w:rsidRPr="00F80174">
              <w:rPr>
                <w:rFonts w:cs="Arial"/>
              </w:rPr>
              <w:t>the continuation of the energy purchasing approach</w:t>
            </w:r>
            <w:r w:rsidR="00633FAE">
              <w:rPr>
                <w:rFonts w:cs="Arial"/>
              </w:rPr>
              <w:t xml:space="preserve"> - </w:t>
            </w:r>
            <w:r w:rsidR="00633FAE" w:rsidRPr="00F80174">
              <w:rPr>
                <w:rFonts w:cs="Arial"/>
              </w:rPr>
              <w:t>a flexible contract for larger electricity and gas supplies, and</w:t>
            </w:r>
            <w:r w:rsidR="00633FAE">
              <w:rPr>
                <w:rFonts w:cs="Arial"/>
              </w:rPr>
              <w:t xml:space="preserve"> </w:t>
            </w:r>
            <w:r w:rsidR="00633FAE" w:rsidRPr="00F80174">
              <w:rPr>
                <w:rFonts w:cs="Arial"/>
              </w:rPr>
              <w:t xml:space="preserve">a fixed term fixed price contract for smaller </w:t>
            </w:r>
            <w:r w:rsidR="00967809">
              <w:rPr>
                <w:rFonts w:cs="Arial"/>
              </w:rPr>
              <w:t>energy consuming sites</w:t>
            </w:r>
            <w:r w:rsidR="00633FAE">
              <w:rPr>
                <w:rFonts w:cs="Arial"/>
              </w:rPr>
              <w:t xml:space="preserve"> and water supplies</w:t>
            </w:r>
            <w:r w:rsidR="002069B3" w:rsidRPr="001356F1">
              <w:t>;</w:t>
            </w:r>
          </w:p>
          <w:p w14:paraId="0016C859" w14:textId="5723B6D9" w:rsidR="003311FE" w:rsidRDefault="003311FE" w:rsidP="00E64172">
            <w:r>
              <w:t>5.</w:t>
            </w:r>
            <w:r w:rsidR="00150837">
              <w:t xml:space="preserve"> </w:t>
            </w:r>
            <w:r w:rsidRPr="00150837">
              <w:rPr>
                <w:b/>
              </w:rPr>
              <w:t>Approve</w:t>
            </w:r>
            <w:r>
              <w:t xml:space="preserve"> the purchase of appropriate offset products to mitigate the impact of vehicle fuel purchase</w:t>
            </w:r>
            <w:r w:rsidR="00150837">
              <w:t>;</w:t>
            </w:r>
          </w:p>
          <w:p w14:paraId="0510A560" w14:textId="709E2864" w:rsidR="003311FE" w:rsidRDefault="003311FE" w:rsidP="00E64172">
            <w:r>
              <w:t xml:space="preserve">6. </w:t>
            </w:r>
            <w:r w:rsidRPr="00150837">
              <w:rPr>
                <w:b/>
              </w:rPr>
              <w:t>Note</w:t>
            </w:r>
            <w:r>
              <w:t xml:space="preserve"> the continuing  impact of the Council’s Carbon Reduction Programme in reducing the need for offsetting in the future and the overall energy</w:t>
            </w:r>
            <w:r w:rsidR="00576A57">
              <w:t xml:space="preserve"> and fuel</w:t>
            </w:r>
            <w:r>
              <w:t xml:space="preserve"> requirements to </w:t>
            </w:r>
            <w:r w:rsidR="00150837">
              <w:t xml:space="preserve">support the council’s operation; and </w:t>
            </w:r>
          </w:p>
          <w:p w14:paraId="6AA4F957" w14:textId="7E8087C0" w:rsidR="005C3AFA" w:rsidRPr="001356F1" w:rsidRDefault="00952975" w:rsidP="00E64172">
            <w:r>
              <w:t>7</w:t>
            </w:r>
            <w:r w:rsidR="00273A39">
              <w:t xml:space="preserve">. </w:t>
            </w:r>
            <w:r w:rsidR="00273A39" w:rsidRPr="00150837">
              <w:rPr>
                <w:b/>
              </w:rPr>
              <w:t>Note</w:t>
            </w:r>
            <w:r w:rsidR="00273A39">
              <w:t xml:space="preserve"> that with the combination of the procurement of renewable energy, </w:t>
            </w:r>
            <w:r w:rsidR="00E27F0F">
              <w:t xml:space="preserve">certified and verifiable </w:t>
            </w:r>
            <w:r w:rsidR="00273A39">
              <w:t>offsetting of fuel impacts and a programme to reduce energy consumption in place the Council can rightly claim to be Net Zero in terms of Green House gases associated with its operations.</w:t>
            </w:r>
          </w:p>
        </w:tc>
      </w:tr>
      <w:tr w:rsidR="00232F5B" w:rsidRPr="00975B07" w14:paraId="2549B1A8" w14:textId="77777777" w:rsidTr="00C80D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7"/>
        </w:trPr>
        <w:tc>
          <w:tcPr>
            <w:tcW w:w="418" w:type="dxa"/>
            <w:tcBorders>
              <w:top w:val="single" w:sz="4" w:space="0" w:color="auto"/>
              <w:left w:val="single" w:sz="8" w:space="0" w:color="000000"/>
              <w:bottom w:val="nil"/>
              <w:right w:val="nil"/>
            </w:tcBorders>
          </w:tcPr>
          <w:p w14:paraId="1A974B66" w14:textId="77777777" w:rsidR="0030208D" w:rsidRPr="00975B07" w:rsidRDefault="0030208D" w:rsidP="004A6D2F"/>
        </w:tc>
        <w:tc>
          <w:tcPr>
            <w:tcW w:w="9225" w:type="dxa"/>
            <w:gridSpan w:val="3"/>
            <w:tcBorders>
              <w:top w:val="single" w:sz="4" w:space="0" w:color="auto"/>
              <w:left w:val="nil"/>
              <w:bottom w:val="nil"/>
              <w:right w:val="single" w:sz="8" w:space="0" w:color="000000"/>
            </w:tcBorders>
            <w:shd w:val="clear" w:color="auto" w:fill="auto"/>
          </w:tcPr>
          <w:p w14:paraId="3934450C" w14:textId="77777777" w:rsidR="0030208D" w:rsidRPr="00533120" w:rsidRDefault="0030208D" w:rsidP="00533120"/>
        </w:tc>
      </w:tr>
      <w:tr w:rsidR="00232F5B" w:rsidRPr="00975B07" w14:paraId="16B77898"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7"/>
        </w:trPr>
        <w:tc>
          <w:tcPr>
            <w:tcW w:w="418" w:type="dxa"/>
            <w:tcBorders>
              <w:top w:val="nil"/>
              <w:left w:val="single" w:sz="8" w:space="0" w:color="000000"/>
              <w:bottom w:val="nil"/>
              <w:right w:val="nil"/>
            </w:tcBorders>
          </w:tcPr>
          <w:p w14:paraId="17313AC6" w14:textId="77777777" w:rsidR="0030208D" w:rsidRPr="00975B07" w:rsidRDefault="0030208D" w:rsidP="004A6D2F"/>
        </w:tc>
        <w:tc>
          <w:tcPr>
            <w:tcW w:w="9225" w:type="dxa"/>
            <w:gridSpan w:val="3"/>
            <w:tcBorders>
              <w:top w:val="nil"/>
              <w:left w:val="nil"/>
              <w:bottom w:val="nil"/>
              <w:right w:val="single" w:sz="8" w:space="0" w:color="000000"/>
            </w:tcBorders>
            <w:shd w:val="clear" w:color="auto" w:fill="auto"/>
          </w:tcPr>
          <w:p w14:paraId="56A86F02" w14:textId="77777777" w:rsidR="0030208D" w:rsidRPr="00533120" w:rsidRDefault="0030208D" w:rsidP="000C33DB"/>
        </w:tc>
      </w:tr>
      <w:tr w:rsidR="00232F5B" w:rsidRPr="00975B07" w14:paraId="725ED0CB" w14:textId="77777777" w:rsidTr="00281A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4"/>
        </w:trPr>
        <w:tc>
          <w:tcPr>
            <w:tcW w:w="418" w:type="dxa"/>
            <w:tcBorders>
              <w:top w:val="nil"/>
              <w:left w:val="single" w:sz="8" w:space="0" w:color="000000"/>
              <w:bottom w:val="single" w:sz="8" w:space="0" w:color="000000"/>
              <w:right w:val="nil"/>
            </w:tcBorders>
          </w:tcPr>
          <w:p w14:paraId="179A2308" w14:textId="77777777" w:rsidR="0030208D" w:rsidRPr="00975B07" w:rsidRDefault="0030208D" w:rsidP="004A6D2F"/>
        </w:tc>
        <w:tc>
          <w:tcPr>
            <w:tcW w:w="9225" w:type="dxa"/>
            <w:gridSpan w:val="3"/>
            <w:tcBorders>
              <w:top w:val="nil"/>
              <w:left w:val="nil"/>
              <w:bottom w:val="single" w:sz="8" w:space="0" w:color="000000"/>
              <w:right w:val="single" w:sz="8" w:space="0" w:color="000000"/>
            </w:tcBorders>
            <w:shd w:val="clear" w:color="auto" w:fill="auto"/>
          </w:tcPr>
          <w:p w14:paraId="0F3EAC25" w14:textId="77777777" w:rsidR="0030208D" w:rsidRPr="001356F1" w:rsidRDefault="0030208D" w:rsidP="00247C29"/>
        </w:tc>
      </w:tr>
      <w:tr w:rsidR="00966D42" w:rsidRPr="00975B07" w14:paraId="66DA969B" w14:textId="77777777" w:rsidTr="00281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9643" w:type="dxa"/>
            <w:gridSpan w:val="4"/>
            <w:tcBorders>
              <w:top w:val="single" w:sz="8" w:space="0" w:color="000000"/>
              <w:left w:val="single" w:sz="8" w:space="0" w:color="000000"/>
              <w:bottom w:val="single" w:sz="8" w:space="0" w:color="000000"/>
              <w:right w:val="single" w:sz="8" w:space="0" w:color="000000"/>
            </w:tcBorders>
            <w:shd w:val="clear" w:color="auto" w:fill="auto"/>
          </w:tcPr>
          <w:p w14:paraId="3A7CF548" w14:textId="77777777" w:rsidR="00966D42" w:rsidRPr="00975B07" w:rsidRDefault="00966D42" w:rsidP="00263EA3">
            <w:pPr>
              <w:jc w:val="center"/>
            </w:pPr>
            <w:r w:rsidRPr="00745BF0">
              <w:rPr>
                <w:rStyle w:val="Firstpagetablebold"/>
              </w:rPr>
              <w:t>Appendices</w:t>
            </w:r>
          </w:p>
        </w:tc>
      </w:tr>
      <w:tr w:rsidR="00ED5860" w:rsidRPr="00975B07" w14:paraId="224A85BA" w14:textId="77777777" w:rsidTr="00281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2305" w:type="dxa"/>
            <w:gridSpan w:val="2"/>
            <w:tcBorders>
              <w:top w:val="single" w:sz="8" w:space="0" w:color="000000"/>
              <w:left w:val="single" w:sz="8" w:space="0" w:color="000000"/>
              <w:bottom w:val="nil"/>
              <w:right w:val="nil"/>
            </w:tcBorders>
            <w:shd w:val="clear" w:color="auto" w:fill="auto"/>
          </w:tcPr>
          <w:p w14:paraId="6AD0B523" w14:textId="77777777" w:rsidR="00ED5860" w:rsidRPr="00975B07" w:rsidRDefault="00ED5860" w:rsidP="004A6D2F">
            <w:r w:rsidRPr="00975B07">
              <w:t>Appendix 1</w:t>
            </w:r>
          </w:p>
        </w:tc>
        <w:tc>
          <w:tcPr>
            <w:tcW w:w="7338" w:type="dxa"/>
            <w:gridSpan w:val="2"/>
            <w:tcBorders>
              <w:top w:val="single" w:sz="8" w:space="0" w:color="000000"/>
              <w:left w:val="nil"/>
              <w:bottom w:val="nil"/>
              <w:right w:val="single" w:sz="8" w:space="0" w:color="000000"/>
            </w:tcBorders>
          </w:tcPr>
          <w:p w14:paraId="63C1F114" w14:textId="59BC7747" w:rsidR="00C80D20" w:rsidRPr="001356F1" w:rsidRDefault="00DD2A10" w:rsidP="0032077F">
            <w:r>
              <w:t>LASER performance</w:t>
            </w:r>
            <w:r w:rsidR="0032077F">
              <w:t xml:space="preserve"> data</w:t>
            </w:r>
          </w:p>
        </w:tc>
      </w:tr>
      <w:tr w:rsidR="00ED5860" w:rsidRPr="00975B07" w14:paraId="7D7387B1" w14:textId="77777777" w:rsidTr="00281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2305" w:type="dxa"/>
            <w:gridSpan w:val="2"/>
            <w:tcBorders>
              <w:top w:val="nil"/>
              <w:left w:val="single" w:sz="8" w:space="0" w:color="000000"/>
              <w:bottom w:val="nil"/>
              <w:right w:val="nil"/>
            </w:tcBorders>
            <w:shd w:val="clear" w:color="auto" w:fill="auto"/>
          </w:tcPr>
          <w:p w14:paraId="1FF8F4E8" w14:textId="62FECDD2" w:rsidR="00ED5860" w:rsidRPr="00975B07" w:rsidRDefault="00C80D20" w:rsidP="00C80D20">
            <w:r>
              <w:t xml:space="preserve">Appendix 2 </w:t>
            </w:r>
          </w:p>
        </w:tc>
        <w:tc>
          <w:tcPr>
            <w:tcW w:w="7338" w:type="dxa"/>
            <w:gridSpan w:val="2"/>
            <w:tcBorders>
              <w:top w:val="nil"/>
              <w:left w:val="nil"/>
              <w:bottom w:val="nil"/>
              <w:right w:val="single" w:sz="8" w:space="0" w:color="000000"/>
            </w:tcBorders>
          </w:tcPr>
          <w:p w14:paraId="2CD834EF" w14:textId="2E38CD2A" w:rsidR="00ED5860" w:rsidRPr="001356F1" w:rsidRDefault="00C80D20" w:rsidP="004A6D2F">
            <w:r>
              <w:t>Risk Register</w:t>
            </w:r>
          </w:p>
        </w:tc>
      </w:tr>
      <w:tr w:rsidR="0030208D" w:rsidRPr="00975B07" w14:paraId="6C4B91EE" w14:textId="77777777" w:rsidTr="00281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
        </w:trPr>
        <w:tc>
          <w:tcPr>
            <w:tcW w:w="2305" w:type="dxa"/>
            <w:gridSpan w:val="2"/>
            <w:tcBorders>
              <w:top w:val="nil"/>
              <w:left w:val="single" w:sz="8" w:space="0" w:color="000000"/>
              <w:bottom w:val="single" w:sz="8" w:space="0" w:color="000000"/>
              <w:right w:val="nil"/>
            </w:tcBorders>
            <w:shd w:val="clear" w:color="auto" w:fill="auto"/>
          </w:tcPr>
          <w:p w14:paraId="54298D75" w14:textId="77777777" w:rsidR="0030208D" w:rsidRPr="00975B07" w:rsidRDefault="0030208D" w:rsidP="004A6D2F"/>
        </w:tc>
        <w:tc>
          <w:tcPr>
            <w:tcW w:w="7338" w:type="dxa"/>
            <w:gridSpan w:val="2"/>
            <w:tcBorders>
              <w:top w:val="nil"/>
              <w:left w:val="nil"/>
              <w:bottom w:val="single" w:sz="8" w:space="0" w:color="000000"/>
              <w:right w:val="single" w:sz="8" w:space="0" w:color="000000"/>
            </w:tcBorders>
          </w:tcPr>
          <w:p w14:paraId="59249A98" w14:textId="77777777" w:rsidR="0030208D" w:rsidRPr="001356F1" w:rsidRDefault="0030208D" w:rsidP="004A6D2F"/>
        </w:tc>
      </w:tr>
    </w:tbl>
    <w:p w14:paraId="2A2A5A10" w14:textId="77777777" w:rsidR="0040736F" w:rsidRPr="001356F1" w:rsidRDefault="002A604C" w:rsidP="004A6D2F">
      <w:pPr>
        <w:pStyle w:val="Heading1"/>
      </w:pPr>
      <w:r>
        <w:t xml:space="preserve"> Introduction</w:t>
      </w:r>
    </w:p>
    <w:p w14:paraId="35CDE25E" w14:textId="53E397AE" w:rsidR="00A50507" w:rsidRPr="00362C7B" w:rsidRDefault="00A50507" w:rsidP="00A50507">
      <w:pPr>
        <w:pStyle w:val="Body"/>
        <w:numPr>
          <w:ilvl w:val="0"/>
          <w:numId w:val="34"/>
        </w:numPr>
        <w:spacing w:after="0"/>
        <w:rPr>
          <w:rStyle w:val="Firstpagetablebold"/>
          <w:b w:val="0"/>
          <w:lang w:val="en-US"/>
        </w:rPr>
      </w:pPr>
      <w:r>
        <w:rPr>
          <w:lang w:val="en-US"/>
        </w:rPr>
        <w:t>The Report “</w:t>
      </w:r>
      <w:r w:rsidRPr="00150837">
        <w:rPr>
          <w:rStyle w:val="Firstpagetablebold"/>
          <w:rFonts w:ascii="Helvetica" w:hAnsi="Helvetica" w:cs="Helvetica"/>
          <w:b w:val="0"/>
        </w:rPr>
        <w:t>Initial response to Report on Citizens’ Assembly on Climate Change</w:t>
      </w:r>
      <w:r>
        <w:rPr>
          <w:rStyle w:val="Firstpagetablebold"/>
          <w:rFonts w:ascii="Helvetica" w:hAnsi="Helvetica" w:cs="Helvetica"/>
          <w:b w:val="0"/>
        </w:rPr>
        <w:t xml:space="preserve">”, </w:t>
      </w:r>
      <w:r w:rsidR="00150837">
        <w:rPr>
          <w:rStyle w:val="Firstpagetablebold"/>
          <w:rFonts w:ascii="Helvetica" w:hAnsi="Helvetica" w:cs="Helvetica"/>
          <w:b w:val="0"/>
        </w:rPr>
        <w:t xml:space="preserve">(Cabinet 19 December) </w:t>
      </w:r>
      <w:r>
        <w:rPr>
          <w:rStyle w:val="Firstpagetablebold"/>
          <w:rFonts w:ascii="Helvetica" w:hAnsi="Helvetica" w:cs="Helvetica"/>
          <w:b w:val="0"/>
        </w:rPr>
        <w:t xml:space="preserve"> amongst a number of steps sets out a proposed initial response to the climate emergency and the citizens</w:t>
      </w:r>
      <w:r w:rsidR="00150837">
        <w:rPr>
          <w:rStyle w:val="Firstpagetablebold"/>
          <w:rFonts w:ascii="Helvetica" w:hAnsi="Helvetica" w:cs="Helvetica"/>
          <w:b w:val="0"/>
        </w:rPr>
        <w:t>’</w:t>
      </w:r>
      <w:r>
        <w:rPr>
          <w:rStyle w:val="Firstpagetablebold"/>
          <w:rFonts w:ascii="Helvetica" w:hAnsi="Helvetica" w:cs="Helvetica"/>
          <w:b w:val="0"/>
        </w:rPr>
        <w:t xml:space="preserve"> assembly, sets the ambition of the Council of becoming a net zero carbon organisation in terms of energy and fuel purchase in 2020.  This report sets out the practical steps and procurement strategy to achieve that ambition.</w:t>
      </w:r>
    </w:p>
    <w:p w14:paraId="3AA4DC33" w14:textId="77777777" w:rsidR="00362C7B" w:rsidRDefault="00362C7B" w:rsidP="00362C7B">
      <w:pPr>
        <w:pStyle w:val="Body"/>
        <w:spacing w:after="0"/>
        <w:ind w:left="360"/>
        <w:rPr>
          <w:rStyle w:val="Firstpagetablebold"/>
          <w:b w:val="0"/>
          <w:lang w:val="en-US"/>
        </w:rPr>
      </w:pPr>
    </w:p>
    <w:p w14:paraId="3671FFB9" w14:textId="77777777" w:rsidR="00C6196E" w:rsidRPr="00A50507" w:rsidRDefault="00EA3A84" w:rsidP="00A50507">
      <w:pPr>
        <w:pStyle w:val="Body"/>
        <w:numPr>
          <w:ilvl w:val="0"/>
          <w:numId w:val="34"/>
        </w:numPr>
        <w:spacing w:after="0"/>
        <w:rPr>
          <w:lang w:val="en-US"/>
        </w:rPr>
      </w:pPr>
      <w:r w:rsidRPr="00150837">
        <w:rPr>
          <w:lang w:val="en-US"/>
        </w:rPr>
        <w:t>E</w:t>
      </w:r>
      <w:r w:rsidRPr="00A50507">
        <w:rPr>
          <w:lang w:val="en-US"/>
        </w:rPr>
        <w:t>ach year th</w:t>
      </w:r>
      <w:r w:rsidR="00C6196E" w:rsidRPr="00A50507">
        <w:rPr>
          <w:lang w:val="en-US"/>
        </w:rPr>
        <w:t xml:space="preserve">e council purchases electricity and </w:t>
      </w:r>
      <w:r w:rsidRPr="00A50507">
        <w:rPr>
          <w:lang w:val="en-US"/>
        </w:rPr>
        <w:t>gas for its operational buildings</w:t>
      </w:r>
      <w:r w:rsidR="00C6196E" w:rsidRPr="00A50507">
        <w:rPr>
          <w:lang w:val="en-US"/>
        </w:rPr>
        <w:t xml:space="preserve"> and fuel for the vehicle fleet.  The impact of these purchases in terms of greenhouse gas emissions is </w:t>
      </w:r>
      <w:r w:rsidR="0085225A" w:rsidRPr="00A50507">
        <w:rPr>
          <w:lang w:val="en-US"/>
        </w:rPr>
        <w:t>demonstrated in the table below taken from the Council’s Greenhouse Gas Emissions Report.</w:t>
      </w:r>
    </w:p>
    <w:p w14:paraId="4E6C324D" w14:textId="77777777" w:rsidR="0085225A" w:rsidRDefault="0085225A" w:rsidP="00273A39">
      <w:pPr>
        <w:pStyle w:val="Body"/>
        <w:spacing w:after="0"/>
        <w:rPr>
          <w:lang w:val="en-US"/>
        </w:rPr>
      </w:pPr>
    </w:p>
    <w:p w14:paraId="27D28280" w14:textId="77777777" w:rsidR="0085225A" w:rsidRDefault="0085225A" w:rsidP="006672EB">
      <w:pPr>
        <w:pStyle w:val="Body"/>
        <w:numPr>
          <w:ilvl w:val="0"/>
          <w:numId w:val="34"/>
        </w:numPr>
        <w:spacing w:after="0"/>
        <w:rPr>
          <w:lang w:val="en-US"/>
        </w:rPr>
      </w:pPr>
    </w:p>
    <w:p w14:paraId="51E529C3" w14:textId="77777777" w:rsidR="0085225A" w:rsidRDefault="0085225A" w:rsidP="00273A39">
      <w:pPr>
        <w:pStyle w:val="ListParagraph"/>
        <w:numPr>
          <w:ilvl w:val="0"/>
          <w:numId w:val="0"/>
        </w:numPr>
        <w:ind w:left="360"/>
        <w:rPr>
          <w:lang w:val="en-US"/>
        </w:rPr>
      </w:pPr>
    </w:p>
    <w:p w14:paraId="5F7FFFB2" w14:textId="77777777" w:rsidR="00C6196E" w:rsidRDefault="0085225A" w:rsidP="00150837">
      <w:pPr>
        <w:pStyle w:val="Body"/>
        <w:spacing w:after="0"/>
        <w:ind w:left="360"/>
        <w:rPr>
          <w:lang w:val="en-US"/>
        </w:rPr>
      </w:pPr>
      <w:r>
        <w:rPr>
          <w:noProof/>
        </w:rPr>
        <w:drawing>
          <wp:inline distT="0" distB="0" distL="0" distR="0" wp14:anchorId="49701035" wp14:editId="6B2A9938">
            <wp:extent cx="5904230" cy="236863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4230" cy="2368631"/>
                    </a:xfrm>
                    <a:prstGeom prst="rect">
                      <a:avLst/>
                    </a:prstGeom>
                  </pic:spPr>
                </pic:pic>
              </a:graphicData>
            </a:graphic>
          </wp:inline>
        </w:drawing>
      </w:r>
    </w:p>
    <w:p w14:paraId="4C81320B" w14:textId="77777777" w:rsidR="00C6196E" w:rsidRDefault="00C6196E" w:rsidP="00273A39">
      <w:pPr>
        <w:pStyle w:val="Body"/>
        <w:spacing w:after="0"/>
        <w:rPr>
          <w:lang w:val="en-US"/>
        </w:rPr>
      </w:pPr>
    </w:p>
    <w:p w14:paraId="5A7C87B1" w14:textId="313B1B86" w:rsidR="002A604C" w:rsidRDefault="00EA3A84" w:rsidP="00BF043C">
      <w:pPr>
        <w:pStyle w:val="Body"/>
        <w:numPr>
          <w:ilvl w:val="0"/>
          <w:numId w:val="34"/>
        </w:numPr>
        <w:spacing w:after="0"/>
        <w:rPr>
          <w:lang w:val="en-US"/>
        </w:rPr>
      </w:pPr>
      <w:r w:rsidRPr="00E0762C">
        <w:rPr>
          <w:lang w:val="en-US"/>
        </w:rPr>
        <w:t xml:space="preserve"> </w:t>
      </w:r>
      <w:r w:rsidR="00B3708E" w:rsidRPr="00E0762C">
        <w:rPr>
          <w:lang w:val="en-US"/>
        </w:rPr>
        <w:t xml:space="preserve">The Council’s current policy is to purchase renewable energy where the premium for doing so is no more than 2%.  In recent years this has been possible for electricity with the significant reduction in greenhouse gas </w:t>
      </w:r>
      <w:r w:rsidR="002A604C" w:rsidRPr="00E0762C">
        <w:rPr>
          <w:lang w:val="en-US"/>
        </w:rPr>
        <w:t>impact as set out in the table of 40.8% over the past 5 years.</w:t>
      </w:r>
    </w:p>
    <w:p w14:paraId="32FA207B" w14:textId="77777777" w:rsidR="00E0762C" w:rsidRPr="00E0762C" w:rsidRDefault="00E0762C" w:rsidP="003311FE">
      <w:pPr>
        <w:pStyle w:val="Body"/>
        <w:spacing w:after="0"/>
        <w:ind w:left="360"/>
        <w:rPr>
          <w:lang w:val="en-US"/>
        </w:rPr>
      </w:pPr>
    </w:p>
    <w:p w14:paraId="766E8A3B" w14:textId="5D3EC833" w:rsidR="002A604C" w:rsidRDefault="002A604C" w:rsidP="002A604C">
      <w:pPr>
        <w:pStyle w:val="Body"/>
        <w:numPr>
          <w:ilvl w:val="0"/>
          <w:numId w:val="34"/>
        </w:numPr>
        <w:spacing w:after="0"/>
        <w:rPr>
          <w:lang w:val="en-US"/>
        </w:rPr>
      </w:pPr>
      <w:r>
        <w:rPr>
          <w:lang w:val="en-US"/>
        </w:rPr>
        <w:t xml:space="preserve">With the passing of the resolution </w:t>
      </w:r>
      <w:r w:rsidR="00150837">
        <w:rPr>
          <w:lang w:val="en-US"/>
        </w:rPr>
        <w:t xml:space="preserve">by Council </w:t>
      </w:r>
      <w:r>
        <w:rPr>
          <w:lang w:val="en-US"/>
        </w:rPr>
        <w:t>of the Climate Emergency consideration has been given to how this approach could be built on to enable the Council to be net zero in terms of greenhouse gas emissions.</w:t>
      </w:r>
    </w:p>
    <w:p w14:paraId="5E6CB892" w14:textId="77777777" w:rsidR="00E0762C" w:rsidRPr="00E0762C" w:rsidRDefault="00E0762C" w:rsidP="00E0762C">
      <w:pPr>
        <w:rPr>
          <w:lang w:val="en-US"/>
        </w:rPr>
      </w:pPr>
    </w:p>
    <w:p w14:paraId="444677BF" w14:textId="77777777" w:rsidR="00E0762C" w:rsidRDefault="00E0762C" w:rsidP="00E0762C">
      <w:pPr>
        <w:pStyle w:val="Body"/>
        <w:spacing w:after="0"/>
        <w:ind w:left="360"/>
        <w:rPr>
          <w:lang w:val="en-US"/>
        </w:rPr>
      </w:pPr>
    </w:p>
    <w:p w14:paraId="22B992EE" w14:textId="09F181C8" w:rsidR="00E0762C" w:rsidRDefault="002A604C" w:rsidP="00E0762C">
      <w:pPr>
        <w:pStyle w:val="Body"/>
        <w:numPr>
          <w:ilvl w:val="0"/>
          <w:numId w:val="34"/>
        </w:numPr>
        <w:spacing w:after="0"/>
        <w:rPr>
          <w:lang w:val="en-US"/>
        </w:rPr>
      </w:pPr>
      <w:r w:rsidRPr="00E0762C">
        <w:rPr>
          <w:lang w:val="en-US"/>
        </w:rPr>
        <w:t xml:space="preserve">It is now possible to purchase renewable gas, </w:t>
      </w:r>
      <w:proofErr w:type="spellStart"/>
      <w:r w:rsidRPr="00E0762C">
        <w:rPr>
          <w:lang w:val="en-US"/>
        </w:rPr>
        <w:t>ie</w:t>
      </w:r>
      <w:proofErr w:type="spellEnd"/>
      <w:r w:rsidRPr="00E0762C">
        <w:rPr>
          <w:lang w:val="en-US"/>
        </w:rPr>
        <w:t xml:space="preserve"> gas produced by the </w:t>
      </w:r>
      <w:r w:rsidR="00F713CA" w:rsidRPr="00E0762C">
        <w:rPr>
          <w:lang w:val="en-US"/>
        </w:rPr>
        <w:t>anaerobic digestion of farm products, which would have a significant impact on greenhouse emissions.</w:t>
      </w:r>
    </w:p>
    <w:p w14:paraId="61A05D7A" w14:textId="77777777" w:rsidR="00362C7B" w:rsidRPr="00E0762C" w:rsidRDefault="00362C7B" w:rsidP="00362C7B">
      <w:pPr>
        <w:pStyle w:val="Body"/>
        <w:spacing w:after="0"/>
        <w:ind w:left="360"/>
        <w:rPr>
          <w:lang w:val="en-US"/>
        </w:rPr>
      </w:pPr>
    </w:p>
    <w:p w14:paraId="73B54ADE" w14:textId="27DF00DA" w:rsidR="00E0762C" w:rsidRDefault="00F713CA" w:rsidP="00E0762C">
      <w:pPr>
        <w:pStyle w:val="Body"/>
        <w:numPr>
          <w:ilvl w:val="0"/>
          <w:numId w:val="34"/>
        </w:numPr>
        <w:spacing w:after="0"/>
        <w:rPr>
          <w:lang w:val="en-US"/>
        </w:rPr>
      </w:pPr>
      <w:r w:rsidRPr="00E0762C">
        <w:rPr>
          <w:lang w:val="en-US"/>
        </w:rPr>
        <w:t xml:space="preserve">That would leave vehicle </w:t>
      </w:r>
      <w:r w:rsidR="00A7160A" w:rsidRPr="00E0762C">
        <w:rPr>
          <w:lang w:val="en-US"/>
        </w:rPr>
        <w:t>fuel as the main component of</w:t>
      </w:r>
      <w:r w:rsidRPr="00E0762C">
        <w:rPr>
          <w:lang w:val="en-US"/>
        </w:rPr>
        <w:t xml:space="preserve"> the council’s greenhouse gas emissions.  Whilst there are plans to electrify the council’s fleet over the mid-term</w:t>
      </w:r>
      <w:r w:rsidR="003311FE" w:rsidRPr="00E0762C">
        <w:rPr>
          <w:lang w:val="en-US"/>
        </w:rPr>
        <w:t>,</w:t>
      </w:r>
      <w:r w:rsidRPr="00E0762C">
        <w:rPr>
          <w:lang w:val="en-US"/>
        </w:rPr>
        <w:t xml:space="preserve"> steps could be taken now by accredited offsetting </w:t>
      </w:r>
      <w:r w:rsidR="00080F93" w:rsidRPr="00E0762C">
        <w:rPr>
          <w:lang w:val="en-US"/>
        </w:rPr>
        <w:t xml:space="preserve">to mitigate those gases </w:t>
      </w:r>
      <w:r w:rsidR="003311FE" w:rsidRPr="00E0762C">
        <w:rPr>
          <w:lang w:val="en-US"/>
        </w:rPr>
        <w:t xml:space="preserve">enabling </w:t>
      </w:r>
      <w:r w:rsidR="00080F93" w:rsidRPr="00E0762C">
        <w:rPr>
          <w:lang w:val="en-US"/>
        </w:rPr>
        <w:t xml:space="preserve">the council to </w:t>
      </w:r>
      <w:r w:rsidR="003311FE" w:rsidRPr="00E0762C">
        <w:rPr>
          <w:lang w:val="en-US"/>
        </w:rPr>
        <w:t xml:space="preserve">be </w:t>
      </w:r>
      <w:r w:rsidR="00080F93" w:rsidRPr="00E0762C">
        <w:rPr>
          <w:lang w:val="en-US"/>
        </w:rPr>
        <w:t>net zero for its operations.</w:t>
      </w:r>
    </w:p>
    <w:p w14:paraId="602F0010" w14:textId="77777777" w:rsidR="00362C7B" w:rsidRPr="00E0762C" w:rsidRDefault="00362C7B" w:rsidP="00362C7B">
      <w:pPr>
        <w:pStyle w:val="Body"/>
        <w:spacing w:after="0"/>
        <w:rPr>
          <w:lang w:val="en-US"/>
        </w:rPr>
      </w:pPr>
    </w:p>
    <w:p w14:paraId="416E5752" w14:textId="77777777" w:rsidR="00080F93" w:rsidRDefault="00A7160A" w:rsidP="002A604C">
      <w:pPr>
        <w:pStyle w:val="Body"/>
        <w:numPr>
          <w:ilvl w:val="0"/>
          <w:numId w:val="34"/>
        </w:numPr>
        <w:spacing w:after="0"/>
        <w:rPr>
          <w:lang w:val="en-US"/>
        </w:rPr>
      </w:pPr>
      <w:r>
        <w:rPr>
          <w:lang w:val="en-US"/>
        </w:rPr>
        <w:t xml:space="preserve">Such an approach, in isolation, could open the council up to criticism that it is simply buying its way to net zero. However, combined with </w:t>
      </w:r>
      <w:r w:rsidR="00691333">
        <w:rPr>
          <w:lang w:val="en-US"/>
        </w:rPr>
        <w:t>the council’s well established fleet management and building energy reduction plans this is believed to be a robust approach that is recommended for adoption.</w:t>
      </w:r>
    </w:p>
    <w:p w14:paraId="6D9CDC8F" w14:textId="77777777" w:rsidR="00362C7B" w:rsidRPr="00362C7B" w:rsidRDefault="00362C7B" w:rsidP="00362C7B">
      <w:pPr>
        <w:pStyle w:val="ListParagraph"/>
        <w:numPr>
          <w:ilvl w:val="0"/>
          <w:numId w:val="0"/>
        </w:numPr>
        <w:ind w:left="360"/>
        <w:rPr>
          <w:lang w:val="en-US"/>
        </w:rPr>
      </w:pPr>
    </w:p>
    <w:p w14:paraId="4118CF1D" w14:textId="4C932C23" w:rsidR="00A50507" w:rsidRDefault="00A50507" w:rsidP="002A604C">
      <w:pPr>
        <w:pStyle w:val="Body"/>
        <w:numPr>
          <w:ilvl w:val="0"/>
          <w:numId w:val="34"/>
        </w:numPr>
        <w:spacing w:after="0"/>
        <w:rPr>
          <w:lang w:val="en-US"/>
        </w:rPr>
      </w:pPr>
      <w:r>
        <w:rPr>
          <w:lang w:val="en-US"/>
        </w:rPr>
        <w:t xml:space="preserve">This report also identifies the opportunity to enter into Power Purchase Agreements directly with the owners of renewable energy assets.  Where this could be achieved locally it would </w:t>
      </w:r>
      <w:proofErr w:type="spellStart"/>
      <w:r w:rsidR="00BB210D">
        <w:rPr>
          <w:lang w:val="en-US"/>
        </w:rPr>
        <w:t>provide</w:t>
      </w:r>
      <w:r>
        <w:rPr>
          <w:lang w:val="en-US"/>
        </w:rPr>
        <w:t>a</w:t>
      </w:r>
      <w:proofErr w:type="spellEnd"/>
      <w:r>
        <w:rPr>
          <w:lang w:val="en-US"/>
        </w:rPr>
        <w:t xml:space="preserve"> local closed loop of energy production, supply and consumption with the benefits remaining with the local economy and communities</w:t>
      </w:r>
    </w:p>
    <w:p w14:paraId="781C9B3D" w14:textId="77777777" w:rsidR="00362C7B" w:rsidRPr="00362C7B" w:rsidRDefault="00362C7B" w:rsidP="00362C7B">
      <w:pPr>
        <w:pStyle w:val="ListParagraph"/>
        <w:numPr>
          <w:ilvl w:val="0"/>
          <w:numId w:val="0"/>
        </w:numPr>
        <w:ind w:left="360"/>
        <w:rPr>
          <w:lang w:val="en-US"/>
        </w:rPr>
      </w:pPr>
    </w:p>
    <w:p w14:paraId="6FCE5BB5" w14:textId="5F449BF8" w:rsidR="00A50507" w:rsidRDefault="00691333" w:rsidP="002A604C">
      <w:pPr>
        <w:pStyle w:val="Body"/>
        <w:numPr>
          <w:ilvl w:val="0"/>
          <w:numId w:val="34"/>
        </w:numPr>
        <w:spacing w:after="0"/>
        <w:rPr>
          <w:lang w:val="en-US"/>
        </w:rPr>
      </w:pPr>
      <w:r>
        <w:rPr>
          <w:lang w:val="en-US"/>
        </w:rPr>
        <w:t xml:space="preserve">There are undoubted environmental benefits from </w:t>
      </w:r>
      <w:proofErr w:type="gramStart"/>
      <w:r w:rsidR="00A50507">
        <w:rPr>
          <w:lang w:val="en-US"/>
        </w:rPr>
        <w:t xml:space="preserve">the </w:t>
      </w:r>
      <w:r>
        <w:rPr>
          <w:lang w:val="en-US"/>
        </w:rPr>
        <w:t xml:space="preserve"> </w:t>
      </w:r>
      <w:proofErr w:type="spellStart"/>
      <w:r>
        <w:rPr>
          <w:lang w:val="en-US"/>
        </w:rPr>
        <w:t>approach</w:t>
      </w:r>
      <w:r w:rsidR="00A50507">
        <w:rPr>
          <w:lang w:val="en-US"/>
        </w:rPr>
        <w:t>set</w:t>
      </w:r>
      <w:proofErr w:type="spellEnd"/>
      <w:proofErr w:type="gramEnd"/>
      <w:r w:rsidR="00A50507">
        <w:rPr>
          <w:lang w:val="en-US"/>
        </w:rPr>
        <w:t xml:space="preserve"> out in this report</w:t>
      </w:r>
      <w:r>
        <w:rPr>
          <w:lang w:val="en-US"/>
        </w:rPr>
        <w:t xml:space="preserve">, it will assist in stimulating markets in renewables and demonstrate leadership that whilst climate change is a huge complex subject </w:t>
      </w:r>
      <w:r w:rsidR="00195CC6">
        <w:rPr>
          <w:lang w:val="en-US"/>
        </w:rPr>
        <w:t>there are practical, proportionate steps that organizations can take.</w:t>
      </w:r>
      <w:r w:rsidR="00A50507">
        <w:rPr>
          <w:lang w:val="en-US"/>
        </w:rPr>
        <w:t xml:space="preserve">  There are </w:t>
      </w:r>
      <w:r w:rsidR="00381749">
        <w:rPr>
          <w:lang w:val="en-US"/>
        </w:rPr>
        <w:t>parallels</w:t>
      </w:r>
      <w:r w:rsidR="00A50507">
        <w:rPr>
          <w:lang w:val="en-US"/>
        </w:rPr>
        <w:t xml:space="preserve"> with the council’s stand in respect of the Oxford living Wage</w:t>
      </w:r>
      <w:r w:rsidR="00150837">
        <w:rPr>
          <w:lang w:val="en-US"/>
        </w:rPr>
        <w:t xml:space="preserve"> where the Council having taken</w:t>
      </w:r>
      <w:r w:rsidR="00A50507">
        <w:rPr>
          <w:lang w:val="en-US"/>
        </w:rPr>
        <w:t xml:space="preserve"> the lead builds a growing </w:t>
      </w:r>
      <w:r w:rsidR="000B0D43">
        <w:rPr>
          <w:lang w:val="en-US"/>
        </w:rPr>
        <w:t>band of support for a new or innovative approach to solving seemingly intractable problems.</w:t>
      </w:r>
    </w:p>
    <w:p w14:paraId="70DEA96D" w14:textId="77777777" w:rsidR="00F713CA" w:rsidRPr="002A604C" w:rsidRDefault="00F713CA" w:rsidP="00273A39">
      <w:pPr>
        <w:pStyle w:val="Body"/>
        <w:spacing w:after="0"/>
        <w:rPr>
          <w:lang w:val="en-US"/>
        </w:rPr>
      </w:pPr>
    </w:p>
    <w:p w14:paraId="2916AC31" w14:textId="77777777" w:rsidR="00B3708E" w:rsidRDefault="00B3708E" w:rsidP="00150837">
      <w:pPr>
        <w:pStyle w:val="ListParagraph"/>
        <w:numPr>
          <w:ilvl w:val="0"/>
          <w:numId w:val="0"/>
        </w:numPr>
        <w:ind w:left="360"/>
        <w:rPr>
          <w:lang w:val="en-US"/>
        </w:rPr>
      </w:pPr>
    </w:p>
    <w:p w14:paraId="7564F210" w14:textId="77777777" w:rsidR="006672EB" w:rsidRDefault="00195CC6" w:rsidP="00150837">
      <w:pPr>
        <w:pStyle w:val="Body"/>
        <w:spacing w:after="0"/>
        <w:rPr>
          <w:b/>
          <w:bCs/>
        </w:rPr>
      </w:pPr>
      <w:proofErr w:type="gramStart"/>
      <w:r>
        <w:rPr>
          <w:b/>
          <w:bCs/>
        </w:rPr>
        <w:t>Procurement policy and proposal.</w:t>
      </w:r>
      <w:proofErr w:type="gramEnd"/>
    </w:p>
    <w:p w14:paraId="107D6461" w14:textId="77777777" w:rsidR="00362C7B" w:rsidRPr="006672EB" w:rsidRDefault="00362C7B" w:rsidP="00150837">
      <w:pPr>
        <w:pStyle w:val="Body"/>
        <w:spacing w:after="0"/>
        <w:rPr>
          <w:b/>
          <w:bCs/>
        </w:rPr>
      </w:pPr>
    </w:p>
    <w:p w14:paraId="3CA73E1C" w14:textId="77777777" w:rsidR="000B0D43" w:rsidRDefault="000B0D43" w:rsidP="000B0D43">
      <w:pPr>
        <w:pStyle w:val="ListParagraph"/>
        <w:numPr>
          <w:ilvl w:val="0"/>
          <w:numId w:val="34"/>
        </w:numPr>
        <w:spacing w:after="0"/>
        <w:contextualSpacing/>
      </w:pPr>
      <w:r>
        <w:t>The value of the contract to supply the Council with energy over a typical 4 year supply period is £7m.  Therefore careful thought has to be given to procurement to ensure that it delivers value for money and is compliant with the public procurement regulations.  Therefore a significant part of this report covers those aspects.</w:t>
      </w:r>
    </w:p>
    <w:p w14:paraId="3580A52C" w14:textId="77777777" w:rsidR="00362C7B" w:rsidRDefault="00362C7B" w:rsidP="00362C7B">
      <w:pPr>
        <w:pStyle w:val="ListParagraph"/>
        <w:numPr>
          <w:ilvl w:val="0"/>
          <w:numId w:val="0"/>
        </w:numPr>
        <w:spacing w:after="0"/>
        <w:ind w:left="360"/>
        <w:contextualSpacing/>
      </w:pPr>
    </w:p>
    <w:p w14:paraId="77067A08" w14:textId="31307A2C" w:rsidR="00681A78" w:rsidRDefault="00681A78" w:rsidP="000B0D43">
      <w:pPr>
        <w:pStyle w:val="ListParagraph"/>
        <w:numPr>
          <w:ilvl w:val="0"/>
          <w:numId w:val="34"/>
        </w:numPr>
        <w:spacing w:after="0"/>
        <w:contextualSpacing/>
      </w:pPr>
      <w:r>
        <w:t xml:space="preserve">Since gas and electricity markets opened to competition in the 1990’s, the energy market has become a highly specialised field of procurement. The complexity of the procurement options can create a risk if not </w:t>
      </w:r>
      <w:r w:rsidR="00195CC6">
        <w:t xml:space="preserve">appropriately </w:t>
      </w:r>
      <w:r>
        <w:t>managed</w:t>
      </w:r>
      <w:r w:rsidR="00195CC6">
        <w:t>.</w:t>
      </w:r>
      <w:r>
        <w:t xml:space="preserve"> It </w:t>
      </w:r>
      <w:r w:rsidR="00195CC6">
        <w:t>can be</w:t>
      </w:r>
      <w:r>
        <w:t xml:space="preserve"> time consumin</w:t>
      </w:r>
      <w:r w:rsidR="00150837">
        <w:t>g</w:t>
      </w:r>
      <w:r w:rsidR="00195CC6">
        <w:t xml:space="preserve"> and therefore costly</w:t>
      </w:r>
      <w:r>
        <w:t xml:space="preserve"> due to the potential number of suppliers and types of contract available</w:t>
      </w:r>
      <w:r w:rsidR="00BA5235">
        <w:t>.</w:t>
      </w:r>
    </w:p>
    <w:p w14:paraId="234D4AD9" w14:textId="77777777" w:rsidR="00362C7B" w:rsidRDefault="00362C7B" w:rsidP="00362C7B">
      <w:pPr>
        <w:pStyle w:val="ListParagraph"/>
        <w:numPr>
          <w:ilvl w:val="0"/>
          <w:numId w:val="0"/>
        </w:numPr>
        <w:ind w:left="360"/>
      </w:pPr>
    </w:p>
    <w:p w14:paraId="4E847825" w14:textId="456CAF66" w:rsidR="00BA5235" w:rsidRDefault="00BA5235" w:rsidP="00BA5235">
      <w:pPr>
        <w:pStyle w:val="ListParagraph"/>
        <w:numPr>
          <w:ilvl w:val="0"/>
          <w:numId w:val="34"/>
        </w:numPr>
        <w:spacing w:after="0"/>
        <w:contextualSpacing/>
      </w:pPr>
      <w:r>
        <w:t xml:space="preserve">Several buying organisations, both private and public sector, can secure such contracts on the Council’s behalf. Public sector buying organisations (PBOs) are favoured because they focus </w:t>
      </w:r>
      <w:r w:rsidR="00956CC7">
        <w:t>more</w:t>
      </w:r>
      <w:r>
        <w:t xml:space="preserve"> on public sector needs rather than trying to match the potentially competing objectives and requirements of private and public sector organisations. In addition, these groups have long experience of acting on behalf of the public sector and are therefore well versed in t</w:t>
      </w:r>
      <w:r w:rsidR="00BF043C">
        <w:t>heir requirements and processes</w:t>
      </w:r>
    </w:p>
    <w:p w14:paraId="697A5420" w14:textId="4FF2D2CF" w:rsidR="00BA5235" w:rsidRDefault="00E87F7A" w:rsidP="00E0762C">
      <w:pPr>
        <w:pStyle w:val="ListParagraph"/>
        <w:numPr>
          <w:ilvl w:val="0"/>
          <w:numId w:val="34"/>
        </w:numPr>
        <w:spacing w:after="0"/>
        <w:contextualSpacing/>
      </w:pPr>
      <w:r w:rsidRPr="001356F1">
        <w:lastRenderedPageBreak/>
        <w:t>T</w:t>
      </w:r>
      <w:r w:rsidR="00CA37A6" w:rsidRPr="00620164">
        <w:t>he</w:t>
      </w:r>
      <w:r w:rsidR="00CA37A6">
        <w:t xml:space="preserve"> Council’s</w:t>
      </w:r>
      <w:r w:rsidR="00CA37A6" w:rsidRPr="00620164">
        <w:t xml:space="preserve"> current energy purchasing arrangements</w:t>
      </w:r>
      <w:r w:rsidR="00B5460C">
        <w:t xml:space="preserve"> -</w:t>
      </w:r>
      <w:r w:rsidR="00CA37A6">
        <w:t xml:space="preserve"> </w:t>
      </w:r>
      <w:r w:rsidR="00CA37A6" w:rsidRPr="00620164">
        <w:t xml:space="preserve">using the Public Buying Organisation (PBO) LASER </w:t>
      </w:r>
      <w:r w:rsidR="00533120" w:rsidRPr="00533120">
        <w:t>(Local Authority South East Region)</w:t>
      </w:r>
      <w:r w:rsidR="00AD6087">
        <w:t xml:space="preserve"> </w:t>
      </w:r>
      <w:r w:rsidR="00CA37A6" w:rsidRPr="00620164">
        <w:t xml:space="preserve">as a </w:t>
      </w:r>
      <w:r w:rsidR="00CA37A6">
        <w:t xml:space="preserve">specialist </w:t>
      </w:r>
      <w:r w:rsidR="00CA37A6" w:rsidRPr="00620164">
        <w:t>energy p</w:t>
      </w:r>
      <w:r w:rsidR="00CA37A6">
        <w:t>urchasing</w:t>
      </w:r>
      <w:r w:rsidR="00CA37A6" w:rsidRPr="00620164">
        <w:t xml:space="preserve"> agent</w:t>
      </w:r>
      <w:r w:rsidR="00B5460C">
        <w:t xml:space="preserve"> -</w:t>
      </w:r>
      <w:r w:rsidR="00CA37A6">
        <w:t xml:space="preserve"> were </w:t>
      </w:r>
      <w:r w:rsidR="00CA37A6" w:rsidRPr="00620164">
        <w:t xml:space="preserve">agreed </w:t>
      </w:r>
      <w:r w:rsidR="00395BD8">
        <w:t>by the</w:t>
      </w:r>
      <w:r w:rsidR="00CA37A6" w:rsidRPr="00620164">
        <w:t xml:space="preserve"> </w:t>
      </w:r>
      <w:r w:rsidR="00273A39">
        <w:t xml:space="preserve">then </w:t>
      </w:r>
      <w:r w:rsidR="00CA37A6" w:rsidRPr="00620164">
        <w:t>C</w:t>
      </w:r>
      <w:r w:rsidR="00273A39">
        <w:t xml:space="preserve">ity </w:t>
      </w:r>
      <w:r w:rsidR="00395BD8">
        <w:t xml:space="preserve"> </w:t>
      </w:r>
      <w:r w:rsidR="00CA37A6" w:rsidRPr="00620164">
        <w:t>E</w:t>
      </w:r>
      <w:r w:rsidR="00395BD8">
        <w:t xml:space="preserve">xecutive </w:t>
      </w:r>
      <w:r w:rsidR="00CA37A6" w:rsidRPr="00620164">
        <w:t>B</w:t>
      </w:r>
      <w:r w:rsidR="00395BD8">
        <w:t xml:space="preserve">oard </w:t>
      </w:r>
      <w:r w:rsidR="00CA37A6" w:rsidRPr="00620164">
        <w:t xml:space="preserve"> </w:t>
      </w:r>
      <w:r w:rsidR="00CA37A6">
        <w:t xml:space="preserve">in </w:t>
      </w:r>
      <w:r w:rsidR="00C244ED">
        <w:t>February</w:t>
      </w:r>
      <w:r w:rsidR="00CA37A6" w:rsidRPr="00620164">
        <w:t xml:space="preserve"> 201</w:t>
      </w:r>
      <w:r w:rsidR="00CA37A6">
        <w:t xml:space="preserve">6. This </w:t>
      </w:r>
      <w:r w:rsidR="00CA37A6" w:rsidRPr="00620164">
        <w:t>cover</w:t>
      </w:r>
      <w:r w:rsidR="00CA37A6">
        <w:t>ed</w:t>
      </w:r>
      <w:r w:rsidR="00CA37A6" w:rsidRPr="00620164">
        <w:t xml:space="preserve"> the period 1 Oct</w:t>
      </w:r>
      <w:r w:rsidR="00CA37A6">
        <w:t>ober</w:t>
      </w:r>
      <w:r w:rsidR="00CA37A6" w:rsidRPr="00620164">
        <w:t xml:space="preserve"> 201</w:t>
      </w:r>
      <w:r w:rsidR="00CA37A6">
        <w:t>6</w:t>
      </w:r>
      <w:r w:rsidR="00CA37A6" w:rsidRPr="00620164">
        <w:t xml:space="preserve"> to 30 Sep</w:t>
      </w:r>
      <w:r w:rsidR="00CA37A6">
        <w:t>tember</w:t>
      </w:r>
      <w:r w:rsidR="00CA37A6" w:rsidRPr="00620164">
        <w:t xml:space="preserve"> 20</w:t>
      </w:r>
      <w:r w:rsidR="00CA37A6">
        <w:t>20</w:t>
      </w:r>
      <w:r w:rsidR="00CA37A6" w:rsidRPr="00620164">
        <w:t xml:space="preserve">. </w:t>
      </w:r>
      <w:r w:rsidR="00BA5235">
        <w:t>LASER established in 1989, has been managing public sector energy procurement for 25 years and it launched its first Flexible Procurement framework in 2008</w:t>
      </w:r>
      <w:r w:rsidR="00A32929">
        <w:t xml:space="preserve">  Appendix 1 examines the performance of the laser arrangements and the structure of contracts that best suits the needs of the council.</w:t>
      </w:r>
      <w:r w:rsidR="00794911">
        <w:t xml:space="preserve">  This concludes that </w:t>
      </w:r>
      <w:r w:rsidR="00C50BBF">
        <w:t xml:space="preserve">the council should continue to utilize the LASER approach to energy and water procurement with a similar contract structure as at </w:t>
      </w:r>
      <w:proofErr w:type="spellStart"/>
      <w:r w:rsidR="00C50BBF">
        <w:t>present.The</w:t>
      </w:r>
      <w:proofErr w:type="spellEnd"/>
      <w:r w:rsidR="00C50BBF">
        <w:t xml:space="preserve"> significant change however, is that certified renewable source</w:t>
      </w:r>
      <w:r w:rsidR="00576A57">
        <w:t>s</w:t>
      </w:r>
      <w:r w:rsidR="00C50BBF">
        <w:t xml:space="preserve"> of both electricity and gas are required.</w:t>
      </w:r>
    </w:p>
    <w:p w14:paraId="14FA37DA" w14:textId="77777777" w:rsidR="000014CB" w:rsidRDefault="000014CB" w:rsidP="000014CB">
      <w:pPr>
        <w:pStyle w:val="ListParagraph"/>
        <w:numPr>
          <w:ilvl w:val="0"/>
          <w:numId w:val="0"/>
        </w:numPr>
        <w:spacing w:after="0"/>
        <w:ind w:left="644"/>
        <w:contextualSpacing/>
      </w:pPr>
    </w:p>
    <w:p w14:paraId="76746150" w14:textId="77777777" w:rsidR="00F51F4D" w:rsidRDefault="00F51F4D" w:rsidP="00E0762C">
      <w:pPr>
        <w:pStyle w:val="ListParagraph"/>
        <w:numPr>
          <w:ilvl w:val="0"/>
          <w:numId w:val="0"/>
        </w:numPr>
        <w:tabs>
          <w:tab w:val="clear" w:pos="426"/>
        </w:tabs>
        <w:spacing w:after="0"/>
        <w:ind w:left="357"/>
        <w:contextualSpacing/>
        <w:rPr>
          <w:b/>
        </w:rPr>
      </w:pPr>
      <w:r>
        <w:rPr>
          <w:b/>
        </w:rPr>
        <w:t>Offsetting</w:t>
      </w:r>
    </w:p>
    <w:p w14:paraId="4CEBC056" w14:textId="77777777" w:rsidR="00362C7B" w:rsidRPr="00273A39" w:rsidRDefault="00362C7B" w:rsidP="00E0762C">
      <w:pPr>
        <w:pStyle w:val="ListParagraph"/>
        <w:numPr>
          <w:ilvl w:val="0"/>
          <w:numId w:val="0"/>
        </w:numPr>
        <w:tabs>
          <w:tab w:val="clear" w:pos="426"/>
        </w:tabs>
        <w:spacing w:after="0"/>
        <w:ind w:left="357"/>
        <w:contextualSpacing/>
      </w:pPr>
    </w:p>
    <w:p w14:paraId="69C629DA" w14:textId="77777777" w:rsidR="008C45A3" w:rsidRDefault="00F51F4D" w:rsidP="00521B0F">
      <w:pPr>
        <w:pStyle w:val="ListParagraph"/>
        <w:numPr>
          <w:ilvl w:val="0"/>
          <w:numId w:val="34"/>
        </w:numPr>
        <w:tabs>
          <w:tab w:val="clear" w:pos="426"/>
        </w:tabs>
        <w:spacing w:after="0"/>
        <w:ind w:left="357" w:hanging="357"/>
        <w:contextualSpacing/>
      </w:pPr>
      <w:r>
        <w:t xml:space="preserve">Whilst offsetting is </w:t>
      </w:r>
      <w:r w:rsidR="008C45A3">
        <w:t>legitimate and helpful step where there is no other means of reducing emissions the approach is criticised where it is used as a means of not taking action to reduce emissions.</w:t>
      </w:r>
    </w:p>
    <w:p w14:paraId="0B3E8DA5" w14:textId="77777777" w:rsidR="00362C7B" w:rsidRDefault="00362C7B" w:rsidP="00362C7B">
      <w:pPr>
        <w:pStyle w:val="ListParagraph"/>
        <w:numPr>
          <w:ilvl w:val="0"/>
          <w:numId w:val="0"/>
        </w:numPr>
        <w:tabs>
          <w:tab w:val="clear" w:pos="426"/>
        </w:tabs>
        <w:spacing w:after="0"/>
        <w:ind w:left="357"/>
        <w:contextualSpacing/>
      </w:pPr>
    </w:p>
    <w:p w14:paraId="724090B2" w14:textId="5A3880F8" w:rsidR="005D0E92" w:rsidRDefault="008C45A3" w:rsidP="00521B0F">
      <w:pPr>
        <w:pStyle w:val="ListParagraph"/>
        <w:numPr>
          <w:ilvl w:val="0"/>
          <w:numId w:val="34"/>
        </w:numPr>
        <w:tabs>
          <w:tab w:val="clear" w:pos="426"/>
        </w:tabs>
        <w:spacing w:after="0"/>
        <w:ind w:left="357" w:hanging="357"/>
        <w:contextualSpacing/>
      </w:pPr>
      <w:r>
        <w:t xml:space="preserve">The council’s current carbon management plan requires a 5% per annum reduction in </w:t>
      </w:r>
      <w:r w:rsidR="00DC0AA8">
        <w:t xml:space="preserve">carbon </w:t>
      </w:r>
      <w:r w:rsidR="00576A57">
        <w:t>emissions</w:t>
      </w:r>
      <w:r w:rsidR="00DC0AA8">
        <w:t xml:space="preserve"> by installed measures</w:t>
      </w:r>
      <w:r>
        <w:t xml:space="preserve">.  This has been met in recent years through a combination of improvements to buildings and fleet utilising the </w:t>
      </w:r>
      <w:r w:rsidR="005D0E92">
        <w:t>Salix, and Salix Plus revolving loan funds, the capital programme to improve buildings and external grant</w:t>
      </w:r>
      <w:r w:rsidR="00273A39">
        <w:t>s.</w:t>
      </w:r>
    </w:p>
    <w:p w14:paraId="79CCA3B7" w14:textId="77777777" w:rsidR="00362C7B" w:rsidRDefault="00362C7B" w:rsidP="00362C7B">
      <w:pPr>
        <w:pStyle w:val="ListParagraph"/>
        <w:numPr>
          <w:ilvl w:val="0"/>
          <w:numId w:val="0"/>
        </w:numPr>
        <w:ind w:left="360"/>
      </w:pPr>
    </w:p>
    <w:p w14:paraId="31FBEA36" w14:textId="77777777" w:rsidR="00F51F4D" w:rsidRDefault="005D0E92" w:rsidP="00521B0F">
      <w:pPr>
        <w:pStyle w:val="ListParagraph"/>
        <w:numPr>
          <w:ilvl w:val="0"/>
          <w:numId w:val="34"/>
        </w:numPr>
        <w:tabs>
          <w:tab w:val="clear" w:pos="426"/>
        </w:tabs>
        <w:spacing w:after="0"/>
        <w:ind w:left="357" w:hanging="357"/>
        <w:contextualSpacing/>
      </w:pPr>
      <w:r>
        <w:t xml:space="preserve">In light of the climate emergency the council </w:t>
      </w:r>
      <w:r w:rsidR="003311FE">
        <w:t xml:space="preserve">will </w:t>
      </w:r>
      <w:r>
        <w:t xml:space="preserve">consider whether this pace is sufficient.  The pieces of work set out in the report on the initial response to the citizens’ assembly </w:t>
      </w:r>
      <w:r w:rsidR="00273A39">
        <w:t>will inform</w:t>
      </w:r>
      <w:r>
        <w:t xml:space="preserve"> the prioritisation and cost</w:t>
      </w:r>
      <w:r w:rsidR="00273A39">
        <w:t>s</w:t>
      </w:r>
      <w:r>
        <w:t xml:space="preserve"> of </w:t>
      </w:r>
      <w:r w:rsidR="00273A39">
        <w:t>acceleration</w:t>
      </w:r>
      <w:r>
        <w:t>.</w:t>
      </w:r>
    </w:p>
    <w:p w14:paraId="1D206B0A" w14:textId="77777777" w:rsidR="00362C7B" w:rsidRDefault="00362C7B" w:rsidP="00362C7B">
      <w:pPr>
        <w:pStyle w:val="ListParagraph"/>
        <w:numPr>
          <w:ilvl w:val="0"/>
          <w:numId w:val="0"/>
        </w:numPr>
        <w:ind w:left="360"/>
      </w:pPr>
    </w:p>
    <w:p w14:paraId="2854E2AD" w14:textId="23B70D61" w:rsidR="005D0E92" w:rsidRDefault="005D0E92" w:rsidP="00521B0F">
      <w:pPr>
        <w:pStyle w:val="ListParagraph"/>
        <w:numPr>
          <w:ilvl w:val="0"/>
          <w:numId w:val="34"/>
        </w:numPr>
        <w:tabs>
          <w:tab w:val="clear" w:pos="426"/>
        </w:tabs>
        <w:spacing w:after="0"/>
        <w:ind w:left="357" w:hanging="357"/>
        <w:contextualSpacing/>
      </w:pPr>
      <w:r>
        <w:t>Plans are in place to conclude the transfer of the first 23% of the council’s fleet</w:t>
      </w:r>
      <w:r w:rsidR="00CF1B7C">
        <w:t>, operated by ODSL,</w:t>
      </w:r>
      <w:r>
        <w:t xml:space="preserve"> to electric and </w:t>
      </w:r>
      <w:r w:rsidR="00CF1B7C">
        <w:t>the ODS</w:t>
      </w:r>
      <w:r w:rsidR="003311FE">
        <w:t>L</w:t>
      </w:r>
      <w:r w:rsidR="00E0762C">
        <w:t xml:space="preserve"> business plan </w:t>
      </w:r>
      <w:proofErr w:type="gramStart"/>
      <w:r w:rsidR="00E0762C">
        <w:t xml:space="preserve">provides </w:t>
      </w:r>
      <w:r w:rsidR="00CF1B7C">
        <w:t xml:space="preserve"> for</w:t>
      </w:r>
      <w:proofErr w:type="gramEnd"/>
      <w:r w:rsidR="00CF1B7C">
        <w:t xml:space="preserve"> further transitions.</w:t>
      </w:r>
    </w:p>
    <w:p w14:paraId="54941942" w14:textId="77777777" w:rsidR="00362C7B" w:rsidRDefault="00362C7B" w:rsidP="00362C7B">
      <w:pPr>
        <w:pStyle w:val="ListParagraph"/>
        <w:numPr>
          <w:ilvl w:val="0"/>
          <w:numId w:val="0"/>
        </w:numPr>
        <w:ind w:left="360"/>
      </w:pPr>
    </w:p>
    <w:p w14:paraId="5B88BE25" w14:textId="77777777" w:rsidR="00CF1B7C" w:rsidRDefault="00CF1B7C" w:rsidP="00521B0F">
      <w:pPr>
        <w:pStyle w:val="ListParagraph"/>
        <w:numPr>
          <w:ilvl w:val="0"/>
          <w:numId w:val="34"/>
        </w:numPr>
        <w:tabs>
          <w:tab w:val="clear" w:pos="426"/>
        </w:tabs>
        <w:spacing w:after="0"/>
        <w:ind w:left="357" w:hanging="357"/>
        <w:contextualSpacing/>
      </w:pPr>
      <w:r>
        <w:t>Therefore over time the reliance on offsetting will reduce.</w:t>
      </w:r>
    </w:p>
    <w:p w14:paraId="03DC97CE" w14:textId="77777777" w:rsidR="00362C7B" w:rsidRDefault="00362C7B" w:rsidP="00362C7B">
      <w:pPr>
        <w:pStyle w:val="ListParagraph"/>
        <w:numPr>
          <w:ilvl w:val="0"/>
          <w:numId w:val="0"/>
        </w:numPr>
        <w:ind w:left="360"/>
      </w:pPr>
    </w:p>
    <w:p w14:paraId="27F36D3B" w14:textId="340BFC0E" w:rsidR="00CF1B7C" w:rsidRDefault="00CF1B7C" w:rsidP="00521B0F">
      <w:pPr>
        <w:pStyle w:val="ListParagraph"/>
        <w:numPr>
          <w:ilvl w:val="0"/>
          <w:numId w:val="34"/>
        </w:numPr>
        <w:tabs>
          <w:tab w:val="clear" w:pos="426"/>
        </w:tabs>
        <w:spacing w:after="0"/>
        <w:ind w:left="357" w:hanging="357"/>
        <w:contextualSpacing/>
      </w:pPr>
      <w:r>
        <w:t>In terms of the nature and type of offsetting it is important that this</w:t>
      </w:r>
      <w:r w:rsidR="00BC563D">
        <w:t xml:space="preserve"> is done to recognised international standards.  It is widely held that the preferred form of offsetting is that which is close to the source being offset and that the purchasing body has control over the offsetting asset.  It is therefore proposed that going forward the council explores with partners the possibility for a local offsetting scheme that at the same time enhances the biodiversity of the area, maximises natural capital resources and provides a safe and healthy environment for citizens to enjoy.</w:t>
      </w:r>
    </w:p>
    <w:p w14:paraId="02723E76" w14:textId="77777777" w:rsidR="00362C7B" w:rsidRDefault="00362C7B" w:rsidP="00362C7B">
      <w:pPr>
        <w:pStyle w:val="ListParagraph"/>
        <w:numPr>
          <w:ilvl w:val="0"/>
          <w:numId w:val="0"/>
        </w:numPr>
        <w:ind w:left="360"/>
      </w:pPr>
    </w:p>
    <w:p w14:paraId="40B23777" w14:textId="77777777" w:rsidR="00273A39" w:rsidRDefault="00273A39" w:rsidP="00521B0F">
      <w:pPr>
        <w:pStyle w:val="ListParagraph"/>
        <w:numPr>
          <w:ilvl w:val="0"/>
          <w:numId w:val="34"/>
        </w:numPr>
        <w:tabs>
          <w:tab w:val="clear" w:pos="426"/>
        </w:tabs>
        <w:spacing w:after="0"/>
        <w:ind w:left="357" w:hanging="357"/>
        <w:contextualSpacing/>
      </w:pPr>
      <w:r>
        <w:t xml:space="preserve">The additional cost of offsetting the council’s current fuel requirements, have been included in the draft budget proposals included elsewhere on the agenda. </w:t>
      </w:r>
    </w:p>
    <w:p w14:paraId="456CF843" w14:textId="77777777" w:rsidR="00362C7B" w:rsidRDefault="00362C7B" w:rsidP="00362C7B">
      <w:pPr>
        <w:pStyle w:val="ListParagraph"/>
        <w:numPr>
          <w:ilvl w:val="0"/>
          <w:numId w:val="0"/>
        </w:numPr>
        <w:ind w:left="360"/>
      </w:pPr>
    </w:p>
    <w:p w14:paraId="7E52B169" w14:textId="77777777" w:rsidR="00362C7B" w:rsidRPr="00E46398" w:rsidRDefault="00362C7B" w:rsidP="00362C7B">
      <w:pPr>
        <w:spacing w:after="0"/>
        <w:contextualSpacing/>
      </w:pPr>
    </w:p>
    <w:p w14:paraId="1006B191" w14:textId="77777777" w:rsidR="00633578" w:rsidRPr="001356F1" w:rsidRDefault="00630097" w:rsidP="00E87F7A">
      <w:pPr>
        <w:pStyle w:val="Heading1"/>
      </w:pPr>
      <w:r>
        <w:lastRenderedPageBreak/>
        <w:t xml:space="preserve">Options appraisal </w:t>
      </w:r>
    </w:p>
    <w:p w14:paraId="6BD6B947" w14:textId="77777777" w:rsidR="009861B5" w:rsidRDefault="009861B5" w:rsidP="009861B5">
      <w:pPr>
        <w:pStyle w:val="ListParagraph"/>
        <w:numPr>
          <w:ilvl w:val="0"/>
          <w:numId w:val="34"/>
        </w:numPr>
        <w:tabs>
          <w:tab w:val="clear" w:pos="426"/>
        </w:tabs>
        <w:spacing w:after="0"/>
        <w:contextualSpacing/>
      </w:pPr>
      <w:r>
        <w:t xml:space="preserve">In seeking to review and renew the Council’s energy contracts the following options are presented: </w:t>
      </w:r>
    </w:p>
    <w:p w14:paraId="278EBC13" w14:textId="77777777" w:rsidR="009861B5" w:rsidRDefault="009861B5" w:rsidP="009861B5">
      <w:pPr>
        <w:pStyle w:val="ListParagraph"/>
        <w:numPr>
          <w:ilvl w:val="1"/>
          <w:numId w:val="37"/>
        </w:numPr>
        <w:tabs>
          <w:tab w:val="clear" w:pos="426"/>
        </w:tabs>
        <w:spacing w:after="0"/>
        <w:contextualSpacing/>
      </w:pPr>
      <w:r w:rsidRPr="00753399">
        <w:rPr>
          <w:b/>
        </w:rPr>
        <w:t>Do nothing</w:t>
      </w:r>
      <w:r>
        <w:t xml:space="preserve"> </w:t>
      </w:r>
    </w:p>
    <w:p w14:paraId="29D1F24E" w14:textId="77777777" w:rsidR="009861B5" w:rsidRDefault="009861B5" w:rsidP="009861B5">
      <w:pPr>
        <w:pStyle w:val="ListParagraph"/>
        <w:numPr>
          <w:ilvl w:val="1"/>
          <w:numId w:val="37"/>
        </w:numPr>
        <w:tabs>
          <w:tab w:val="clear" w:pos="426"/>
        </w:tabs>
        <w:spacing w:after="0"/>
        <w:contextualSpacing/>
      </w:pPr>
      <w:r w:rsidRPr="00753399">
        <w:rPr>
          <w:b/>
        </w:rPr>
        <w:t>Run a procurement process in-house</w:t>
      </w:r>
      <w:r>
        <w:t xml:space="preserve"> </w:t>
      </w:r>
    </w:p>
    <w:p w14:paraId="76496629" w14:textId="77777777" w:rsidR="003311FE" w:rsidRDefault="009861B5" w:rsidP="009861B5">
      <w:pPr>
        <w:pStyle w:val="ListParagraph"/>
        <w:numPr>
          <w:ilvl w:val="1"/>
          <w:numId w:val="37"/>
        </w:numPr>
        <w:tabs>
          <w:tab w:val="clear" w:pos="426"/>
        </w:tabs>
        <w:spacing w:after="0"/>
        <w:contextualSpacing/>
      </w:pPr>
      <w:r w:rsidRPr="00753399">
        <w:rPr>
          <w:b/>
        </w:rPr>
        <w:t>Use a public (professional) buying organisation (PBO) or third party intermediary (TPI) buying organisation</w:t>
      </w:r>
      <w:r>
        <w:t>.</w:t>
      </w:r>
    </w:p>
    <w:p w14:paraId="78E12C33" w14:textId="77777777" w:rsidR="009861B5" w:rsidRDefault="003311FE" w:rsidP="009861B5">
      <w:pPr>
        <w:pStyle w:val="ListParagraph"/>
        <w:numPr>
          <w:ilvl w:val="1"/>
          <w:numId w:val="37"/>
        </w:numPr>
        <w:tabs>
          <w:tab w:val="clear" w:pos="426"/>
        </w:tabs>
        <w:spacing w:after="0"/>
        <w:contextualSpacing/>
      </w:pPr>
      <w:r>
        <w:rPr>
          <w:b/>
        </w:rPr>
        <w:t>One of the above options with or without offsetting</w:t>
      </w:r>
      <w:r w:rsidR="009861B5">
        <w:t xml:space="preserve"> </w:t>
      </w:r>
    </w:p>
    <w:p w14:paraId="7169A3B9" w14:textId="77777777" w:rsidR="009861B5" w:rsidRDefault="009861B5" w:rsidP="009861B5"/>
    <w:p w14:paraId="7CBAF281" w14:textId="77777777" w:rsidR="003311FE" w:rsidRPr="00362C7B" w:rsidRDefault="009861B5" w:rsidP="003311FE">
      <w:pPr>
        <w:pStyle w:val="ListParagraph"/>
        <w:numPr>
          <w:ilvl w:val="0"/>
          <w:numId w:val="34"/>
        </w:numPr>
        <w:tabs>
          <w:tab w:val="clear" w:pos="426"/>
        </w:tabs>
        <w:spacing w:after="0"/>
        <w:contextualSpacing/>
        <w:rPr>
          <w:b/>
        </w:rPr>
      </w:pPr>
      <w:r>
        <w:t>In summary, doing nothing is not an option</w:t>
      </w:r>
      <w:r w:rsidR="003311FE">
        <w:t xml:space="preserve"> in terms of cost</w:t>
      </w:r>
      <w:r>
        <w:t xml:space="preserve"> as this would mean that the council would slip into expensive deemed rates/</w:t>
      </w:r>
      <w:r w:rsidRPr="00CA1FDD">
        <w:t>out of contract</w:t>
      </w:r>
      <w:r>
        <w:t xml:space="preserve"> pricing arrangements with its energy suppliers without an energy contract in place.</w:t>
      </w:r>
    </w:p>
    <w:p w14:paraId="13777E32" w14:textId="77777777" w:rsidR="00362C7B" w:rsidRPr="003311FE" w:rsidRDefault="00362C7B" w:rsidP="00362C7B">
      <w:pPr>
        <w:pStyle w:val="ListParagraph"/>
        <w:numPr>
          <w:ilvl w:val="0"/>
          <w:numId w:val="0"/>
        </w:numPr>
        <w:tabs>
          <w:tab w:val="clear" w:pos="426"/>
        </w:tabs>
        <w:spacing w:after="0"/>
        <w:ind w:left="360"/>
        <w:contextualSpacing/>
        <w:rPr>
          <w:b/>
        </w:rPr>
      </w:pPr>
    </w:p>
    <w:p w14:paraId="2AF63A46" w14:textId="77777777" w:rsidR="003311FE" w:rsidRPr="00362C7B" w:rsidRDefault="003311FE" w:rsidP="003311FE">
      <w:pPr>
        <w:pStyle w:val="ListParagraph"/>
        <w:numPr>
          <w:ilvl w:val="0"/>
          <w:numId w:val="34"/>
        </w:numPr>
        <w:tabs>
          <w:tab w:val="clear" w:pos="426"/>
        </w:tabs>
        <w:spacing w:after="0"/>
        <w:contextualSpacing/>
        <w:rPr>
          <w:b/>
        </w:rPr>
      </w:pPr>
      <w:r>
        <w:t>In terms of climate change impact renewable energy gas is now available at a modest premium and should be considered as part of the council’s overall response to the climate emergency.</w:t>
      </w:r>
    </w:p>
    <w:p w14:paraId="2DBB2085" w14:textId="77777777" w:rsidR="00362C7B" w:rsidRPr="00362C7B" w:rsidRDefault="00362C7B" w:rsidP="00362C7B">
      <w:pPr>
        <w:pStyle w:val="ListParagraph"/>
        <w:numPr>
          <w:ilvl w:val="0"/>
          <w:numId w:val="0"/>
        </w:numPr>
        <w:tabs>
          <w:tab w:val="clear" w:pos="426"/>
        </w:tabs>
        <w:spacing w:after="0"/>
        <w:ind w:left="360"/>
        <w:contextualSpacing/>
        <w:rPr>
          <w:b/>
        </w:rPr>
      </w:pPr>
    </w:p>
    <w:p w14:paraId="2ED30517" w14:textId="4623FCBE" w:rsidR="009861B5" w:rsidRPr="00362C7B" w:rsidRDefault="003311FE" w:rsidP="009861B5">
      <w:pPr>
        <w:pStyle w:val="ListParagraph"/>
        <w:numPr>
          <w:ilvl w:val="0"/>
          <w:numId w:val="34"/>
        </w:numPr>
        <w:tabs>
          <w:tab w:val="clear" w:pos="426"/>
        </w:tabs>
        <w:spacing w:after="0"/>
        <w:contextualSpacing/>
        <w:rPr>
          <w:b/>
        </w:rPr>
      </w:pPr>
      <w:r>
        <w:t xml:space="preserve">For energy, with a procurement value of the order of </w:t>
      </w:r>
      <w:r w:rsidR="009C2C3A">
        <w:t>c</w:t>
      </w:r>
      <w:proofErr w:type="gramStart"/>
      <w:r w:rsidR="009C2C3A">
        <w:t>.</w:t>
      </w:r>
      <w:r>
        <w:t>£</w:t>
      </w:r>
      <w:proofErr w:type="gramEnd"/>
      <w:r>
        <w:t>1.</w:t>
      </w:r>
      <w:r w:rsidR="009C2C3A">
        <w:t xml:space="preserve">7m </w:t>
      </w:r>
      <w:r>
        <w:t>per annum,  r</w:t>
      </w:r>
      <w:r w:rsidR="009861B5">
        <w:t>unning a procurement process in-house would both be time-consuming and expensive requiring specialist energy purchasing expertise and having to run as an Official Journal of the European Union (OJEU) tendered process. The Council also does not have the large scale of purchasing volume to warrant setting up its own energy contracts via a flexible purchasing arrangement. It would also not have the buying power that a PBO or similar purchasing consortia would offer.</w:t>
      </w:r>
    </w:p>
    <w:p w14:paraId="68AAA6DB" w14:textId="77777777" w:rsidR="00362C7B" w:rsidRPr="00362C7B" w:rsidRDefault="00362C7B" w:rsidP="00362C7B">
      <w:pPr>
        <w:pStyle w:val="ListParagraph"/>
        <w:numPr>
          <w:ilvl w:val="0"/>
          <w:numId w:val="0"/>
        </w:numPr>
        <w:ind w:left="360"/>
        <w:rPr>
          <w:b/>
        </w:rPr>
      </w:pPr>
    </w:p>
    <w:p w14:paraId="24741B2A" w14:textId="0CCC70AD" w:rsidR="009861B5" w:rsidRPr="00F5106E" w:rsidRDefault="009861B5" w:rsidP="009861B5">
      <w:pPr>
        <w:pStyle w:val="ListParagraph"/>
        <w:numPr>
          <w:ilvl w:val="0"/>
          <w:numId w:val="34"/>
        </w:numPr>
        <w:tabs>
          <w:tab w:val="clear" w:pos="426"/>
        </w:tabs>
        <w:spacing w:after="0"/>
        <w:contextualSpacing/>
        <w:rPr>
          <w:b/>
        </w:rPr>
      </w:pPr>
      <w:r>
        <w:t>Procuring energy through a PBO is regarded as a best practice approach to mitigate energy price risk in an increasingly volatile and complex energy market and i</w:t>
      </w:r>
      <w:r w:rsidR="00E0762C">
        <w:t xml:space="preserve">s the recommended option for the </w:t>
      </w:r>
      <w:proofErr w:type="gramStart"/>
      <w:r w:rsidR="00E0762C">
        <w:t xml:space="preserve">Council </w:t>
      </w:r>
      <w:r>
        <w:t xml:space="preserve"> to</w:t>
      </w:r>
      <w:proofErr w:type="gramEnd"/>
      <w:r>
        <w:t xml:space="preserve"> pursue. PBOs are also not-for-profit organisations geared for working with public sector organisations and the constraints they have to operate in. They also present a low-risk OJEU compliant procurement route to market.</w:t>
      </w:r>
    </w:p>
    <w:p w14:paraId="1542F11A" w14:textId="77777777" w:rsidR="009861B5" w:rsidRPr="009861B5" w:rsidRDefault="009861B5" w:rsidP="009861B5">
      <w:pPr>
        <w:ind w:left="360" w:hanging="360"/>
        <w:rPr>
          <w:b/>
        </w:rPr>
      </w:pPr>
    </w:p>
    <w:p w14:paraId="442839ED" w14:textId="27D8E05C" w:rsidR="009861B5" w:rsidRPr="00F5106E" w:rsidRDefault="009861B5" w:rsidP="009861B5">
      <w:pPr>
        <w:rPr>
          <w:b/>
        </w:rPr>
      </w:pPr>
      <w:r w:rsidRPr="00F5106E">
        <w:rPr>
          <w:b/>
        </w:rPr>
        <w:t>Preferred option</w:t>
      </w:r>
      <w:r>
        <w:rPr>
          <w:b/>
        </w:rPr>
        <w:t xml:space="preserve"> and benefits</w:t>
      </w:r>
      <w:r w:rsidR="00BC563D">
        <w:rPr>
          <w:b/>
        </w:rPr>
        <w:t xml:space="preserve"> for procur</w:t>
      </w:r>
      <w:r w:rsidR="00E0762C">
        <w:rPr>
          <w:b/>
        </w:rPr>
        <w:t>e</w:t>
      </w:r>
      <w:r w:rsidR="00BC563D">
        <w:rPr>
          <w:b/>
        </w:rPr>
        <w:t>ment</w:t>
      </w:r>
    </w:p>
    <w:p w14:paraId="56431DE0" w14:textId="4062C2D3" w:rsidR="009861B5" w:rsidRDefault="009861B5" w:rsidP="009861B5">
      <w:pPr>
        <w:pStyle w:val="ListParagraph"/>
        <w:numPr>
          <w:ilvl w:val="0"/>
          <w:numId w:val="34"/>
        </w:numPr>
        <w:tabs>
          <w:tab w:val="clear" w:pos="426"/>
        </w:tabs>
        <w:spacing w:after="0"/>
        <w:contextualSpacing/>
      </w:pPr>
      <w:r>
        <w:t xml:space="preserve">It is recommended to continue using the services of a PBO to procure the Council’s energy. Given its good track record and level of service provided to </w:t>
      </w:r>
      <w:r w:rsidR="00E0762C">
        <w:t xml:space="preserve">the Council </w:t>
      </w:r>
      <w:r>
        <w:t xml:space="preserve">over the past </w:t>
      </w:r>
      <w:r w:rsidR="008B2A8C">
        <w:t>four</w:t>
      </w:r>
      <w:r>
        <w:t xml:space="preserve"> framework periods (1</w:t>
      </w:r>
      <w:r w:rsidR="008B2A8C">
        <w:t>6</w:t>
      </w:r>
      <w:r>
        <w:t xml:space="preserve"> years), </w:t>
      </w:r>
      <w:r w:rsidR="00B05162">
        <w:t>development of the energy/water purchase offering via a new access agreement with additional flexibility in terms of contract length</w:t>
      </w:r>
      <w:r w:rsidR="00F72F45">
        <w:t xml:space="preserve"> and services available</w:t>
      </w:r>
      <w:r w:rsidR="00B05162">
        <w:t xml:space="preserve">, </w:t>
      </w:r>
      <w:r>
        <w:t xml:space="preserve">it is recommended to continue using LASER (a not-for-profit PBO) to purchase energy </w:t>
      </w:r>
      <w:r w:rsidR="008B2A8C">
        <w:t>and water</w:t>
      </w:r>
      <w:r>
        <w:t xml:space="preserve"> on behalf of the Council.  </w:t>
      </w:r>
      <w:r w:rsidR="008B2A8C">
        <w:t xml:space="preserve">Market testing has found prices with another similar PBO to be on a par with LASER – prices have also been sought from an independent supplier direct and again were found to be on a par with LASER’s offering. </w:t>
      </w:r>
    </w:p>
    <w:p w14:paraId="4E3B9D45" w14:textId="77777777" w:rsidR="00362C7B" w:rsidRDefault="00362C7B" w:rsidP="00362C7B">
      <w:pPr>
        <w:pStyle w:val="ListParagraph"/>
        <w:numPr>
          <w:ilvl w:val="0"/>
          <w:numId w:val="0"/>
        </w:numPr>
        <w:tabs>
          <w:tab w:val="clear" w:pos="426"/>
        </w:tabs>
        <w:spacing w:after="0"/>
        <w:ind w:left="360"/>
        <w:contextualSpacing/>
      </w:pPr>
    </w:p>
    <w:p w14:paraId="600D454B" w14:textId="77777777" w:rsidR="00362C7B" w:rsidRDefault="008B2A8C" w:rsidP="009861B5">
      <w:pPr>
        <w:pStyle w:val="Style1"/>
        <w:numPr>
          <w:ilvl w:val="0"/>
          <w:numId w:val="34"/>
        </w:numPr>
        <w:tabs>
          <w:tab w:val="clear" w:pos="9072"/>
        </w:tabs>
        <w:spacing w:line="240" w:lineRule="auto"/>
      </w:pPr>
      <w:r>
        <w:t xml:space="preserve">It is proposed to purchase </w:t>
      </w:r>
      <w:r w:rsidR="00112F2B">
        <w:t xml:space="preserve">from LASER </w:t>
      </w:r>
      <w:r>
        <w:t>on a procurement</w:t>
      </w:r>
      <w:r w:rsidR="009C30F7">
        <w:t>-</w:t>
      </w:r>
      <w:r>
        <w:t>only bas</w:t>
      </w:r>
      <w:r w:rsidR="00201212">
        <w:t xml:space="preserve">is </w:t>
      </w:r>
      <w:r w:rsidR="009861B5">
        <w:t xml:space="preserve">as the Council’s energy team has now established the expertise to validate </w:t>
      </w:r>
      <w:r>
        <w:t xml:space="preserve">and make payment of </w:t>
      </w:r>
      <w:r w:rsidR="0098244F">
        <w:t>energy and water bills in-</w:t>
      </w:r>
      <w:r w:rsidR="009861B5">
        <w:t>house using the Sigma Energy software</w:t>
      </w:r>
      <w:r w:rsidR="00A76F5F">
        <w:t>.</w:t>
      </w:r>
    </w:p>
    <w:p w14:paraId="4AB1FF59" w14:textId="7828374B" w:rsidR="009861B5" w:rsidRDefault="00A76F5F" w:rsidP="00362C7B">
      <w:pPr>
        <w:pStyle w:val="ListParagraph"/>
        <w:numPr>
          <w:ilvl w:val="0"/>
          <w:numId w:val="0"/>
        </w:numPr>
        <w:ind w:left="360"/>
      </w:pPr>
      <w:r>
        <w:t xml:space="preserve"> </w:t>
      </w:r>
    </w:p>
    <w:p w14:paraId="27702883" w14:textId="77777777" w:rsidR="003311FE" w:rsidRDefault="003311FE" w:rsidP="009861B5">
      <w:pPr>
        <w:pStyle w:val="Style1"/>
        <w:numPr>
          <w:ilvl w:val="0"/>
          <w:numId w:val="34"/>
        </w:numPr>
        <w:tabs>
          <w:tab w:val="clear" w:pos="9072"/>
        </w:tabs>
        <w:spacing w:line="240" w:lineRule="auto"/>
      </w:pPr>
      <w:r>
        <w:lastRenderedPageBreak/>
        <w:t xml:space="preserve">It is also recommended that renewable electricity </w:t>
      </w:r>
      <w:proofErr w:type="gramStart"/>
      <w:r>
        <w:t>and  gas</w:t>
      </w:r>
      <w:proofErr w:type="gramEnd"/>
      <w:r>
        <w:t xml:space="preserve"> is made a requirement of the procurement.</w:t>
      </w:r>
    </w:p>
    <w:p w14:paraId="14CEE589" w14:textId="77777777" w:rsidR="009861B5" w:rsidRDefault="009861B5" w:rsidP="009861B5">
      <w:pPr>
        <w:pStyle w:val="Style1"/>
        <w:tabs>
          <w:tab w:val="clear" w:pos="9072"/>
        </w:tabs>
        <w:spacing w:line="240" w:lineRule="auto"/>
        <w:ind w:left="720"/>
      </w:pPr>
    </w:p>
    <w:p w14:paraId="573969DE" w14:textId="77777777" w:rsidR="00967809" w:rsidRPr="00273A39" w:rsidRDefault="00967809" w:rsidP="00273A39">
      <w:pPr>
        <w:ind w:left="360" w:hanging="360"/>
        <w:rPr>
          <w:rFonts w:cs="Arial"/>
          <w:b/>
        </w:rPr>
      </w:pPr>
      <w:r w:rsidRPr="00273A39">
        <w:rPr>
          <w:rFonts w:cs="Arial"/>
          <w:b/>
        </w:rPr>
        <w:t>Corporate PPAs</w:t>
      </w:r>
      <w:r w:rsidR="0098244F" w:rsidRPr="00273A39">
        <w:rPr>
          <w:rFonts w:cs="Arial"/>
          <w:b/>
        </w:rPr>
        <w:t xml:space="preserve"> to stimulate investment in local renewable energy generation</w:t>
      </w:r>
    </w:p>
    <w:p w14:paraId="509F3BD8" w14:textId="77777777" w:rsidR="00967809" w:rsidRPr="00362C7B" w:rsidRDefault="00967809" w:rsidP="00967809">
      <w:pPr>
        <w:pStyle w:val="Default"/>
        <w:numPr>
          <w:ilvl w:val="0"/>
          <w:numId w:val="34"/>
        </w:numPr>
        <w:rPr>
          <w:rFonts w:ascii="Arial" w:hAnsi="Arial" w:cs="Arial"/>
          <w:b/>
        </w:rPr>
      </w:pPr>
      <w:r>
        <w:rPr>
          <w:rFonts w:ascii="Arial" w:hAnsi="Arial" w:cs="Arial"/>
        </w:rPr>
        <w:t>Corporate power purchase agreements (corporate PPAs) are long</w:t>
      </w:r>
      <w:r w:rsidR="00183449">
        <w:rPr>
          <w:rFonts w:ascii="Arial" w:hAnsi="Arial" w:cs="Arial"/>
        </w:rPr>
        <w:t>er</w:t>
      </w:r>
      <w:r>
        <w:rPr>
          <w:rFonts w:ascii="Arial" w:hAnsi="Arial" w:cs="Arial"/>
        </w:rPr>
        <w:t xml:space="preserve">-term energy contracts in which the user agrees to purchase electricity directly from an energy generator rather than the traditional approach of simply buying electricity from licensed electricity suppliers. </w:t>
      </w:r>
      <w:r w:rsidR="00CC7BDB">
        <w:rPr>
          <w:rFonts w:ascii="Arial" w:hAnsi="Arial" w:cs="Arial"/>
        </w:rPr>
        <w:t>A</w:t>
      </w:r>
      <w:r>
        <w:rPr>
          <w:rFonts w:ascii="Arial" w:hAnsi="Arial" w:cs="Arial"/>
        </w:rPr>
        <w:t xml:space="preserve">greement terms </w:t>
      </w:r>
      <w:r w:rsidR="00CC7BDB">
        <w:rPr>
          <w:rFonts w:ascii="Arial" w:hAnsi="Arial" w:cs="Arial"/>
        </w:rPr>
        <w:t xml:space="preserve">are </w:t>
      </w:r>
      <w:r>
        <w:rPr>
          <w:rFonts w:ascii="Arial" w:hAnsi="Arial" w:cs="Arial"/>
        </w:rPr>
        <w:t>usually</w:t>
      </w:r>
      <w:r w:rsidR="00CC7BDB">
        <w:rPr>
          <w:rFonts w:ascii="Arial" w:hAnsi="Arial" w:cs="Arial"/>
        </w:rPr>
        <w:t xml:space="preserve"> </w:t>
      </w:r>
      <w:r>
        <w:rPr>
          <w:rFonts w:ascii="Arial" w:hAnsi="Arial" w:cs="Arial"/>
        </w:rPr>
        <w:t xml:space="preserve">10 to </w:t>
      </w:r>
      <w:r w:rsidR="000C33DB">
        <w:rPr>
          <w:rFonts w:ascii="Arial" w:hAnsi="Arial" w:cs="Arial"/>
        </w:rPr>
        <w:t xml:space="preserve">25 </w:t>
      </w:r>
      <w:r>
        <w:rPr>
          <w:rFonts w:ascii="Arial" w:hAnsi="Arial" w:cs="Arial"/>
        </w:rPr>
        <w:t xml:space="preserve">years - but are </w:t>
      </w:r>
      <w:r w:rsidR="00CC7BDB">
        <w:rPr>
          <w:rFonts w:ascii="Arial" w:hAnsi="Arial" w:cs="Arial"/>
        </w:rPr>
        <w:t>often</w:t>
      </w:r>
      <w:r w:rsidR="00710FFA">
        <w:rPr>
          <w:rFonts w:ascii="Arial" w:hAnsi="Arial" w:cs="Arial"/>
        </w:rPr>
        <w:t xml:space="preserve"> </w:t>
      </w:r>
      <w:r>
        <w:rPr>
          <w:rFonts w:ascii="Arial" w:hAnsi="Arial" w:cs="Arial"/>
        </w:rPr>
        <w:t xml:space="preserve">set at a fixed rate linked to some form of indexation. Structured arrangements like this provide financial certainty for the utility companies and the developers, removing the obstacle to financing and building new renewable energy facilities. </w:t>
      </w:r>
    </w:p>
    <w:p w14:paraId="786EA381" w14:textId="77777777" w:rsidR="00362C7B" w:rsidRPr="0005120C" w:rsidRDefault="00362C7B" w:rsidP="00362C7B">
      <w:pPr>
        <w:pStyle w:val="Default"/>
        <w:ind w:left="360"/>
        <w:rPr>
          <w:rFonts w:ascii="Arial" w:hAnsi="Arial" w:cs="Arial"/>
          <w:b/>
        </w:rPr>
      </w:pPr>
    </w:p>
    <w:p w14:paraId="47838360" w14:textId="1F825BF5" w:rsidR="00362C7B" w:rsidRPr="00362C7B" w:rsidRDefault="00954069" w:rsidP="00362C7B">
      <w:pPr>
        <w:pStyle w:val="Default"/>
        <w:numPr>
          <w:ilvl w:val="0"/>
          <w:numId w:val="34"/>
        </w:numPr>
      </w:pPr>
      <w:r w:rsidRPr="00C80D20">
        <w:rPr>
          <w:rFonts w:ascii="Arial" w:hAnsi="Arial" w:cs="Arial"/>
        </w:rPr>
        <w:t xml:space="preserve"> </w:t>
      </w:r>
      <w:r w:rsidR="00967809" w:rsidRPr="00C80D20">
        <w:rPr>
          <w:rFonts w:ascii="Arial" w:hAnsi="Arial" w:cs="Arial"/>
        </w:rPr>
        <w:t>PPAs help</w:t>
      </w:r>
      <w:r w:rsidR="000B0D43" w:rsidRPr="00C80D20">
        <w:rPr>
          <w:rFonts w:ascii="Arial" w:hAnsi="Arial" w:cs="Arial"/>
        </w:rPr>
        <w:t xml:space="preserve"> support the </w:t>
      </w:r>
      <w:r w:rsidR="00967809" w:rsidRPr="00C80D20">
        <w:rPr>
          <w:rFonts w:ascii="Arial" w:hAnsi="Arial" w:cs="Arial"/>
        </w:rPr>
        <w:t>deliver</w:t>
      </w:r>
      <w:r w:rsidR="000B0D43" w:rsidRPr="00C80D20">
        <w:rPr>
          <w:rFonts w:ascii="Arial" w:hAnsi="Arial" w:cs="Arial"/>
        </w:rPr>
        <w:t xml:space="preserve">y </w:t>
      </w:r>
      <w:proofErr w:type="gramStart"/>
      <w:r w:rsidR="000B0D43" w:rsidRPr="00C80D20">
        <w:rPr>
          <w:rFonts w:ascii="Arial" w:hAnsi="Arial" w:cs="Arial"/>
        </w:rPr>
        <w:t xml:space="preserve">of </w:t>
      </w:r>
      <w:r w:rsidR="00967809" w:rsidRPr="00C80D20">
        <w:rPr>
          <w:rFonts w:ascii="Arial" w:hAnsi="Arial" w:cs="Arial"/>
        </w:rPr>
        <w:t xml:space="preserve"> more</w:t>
      </w:r>
      <w:proofErr w:type="gramEnd"/>
      <w:r w:rsidR="00967809" w:rsidRPr="00C80D20">
        <w:rPr>
          <w:rFonts w:ascii="Arial" w:hAnsi="Arial" w:cs="Arial"/>
        </w:rPr>
        <w:t xml:space="preserve"> renewable energy on the grid and are </w:t>
      </w:r>
      <w:r w:rsidR="000B0D43" w:rsidRPr="00C80D20">
        <w:rPr>
          <w:rFonts w:ascii="Arial" w:hAnsi="Arial" w:cs="Arial"/>
        </w:rPr>
        <w:t xml:space="preserve"> arguably </w:t>
      </w:r>
      <w:r w:rsidR="00967809" w:rsidRPr="00C80D20">
        <w:rPr>
          <w:rFonts w:ascii="Arial" w:hAnsi="Arial" w:cs="Arial"/>
        </w:rPr>
        <w:t xml:space="preserve">the next greenest option </w:t>
      </w:r>
      <w:r w:rsidR="0098244F" w:rsidRPr="00C80D20">
        <w:rPr>
          <w:rFonts w:ascii="Arial" w:hAnsi="Arial" w:cs="Arial"/>
        </w:rPr>
        <w:t xml:space="preserve">other </w:t>
      </w:r>
      <w:r w:rsidR="00967809" w:rsidRPr="00C80D20">
        <w:rPr>
          <w:rFonts w:ascii="Arial" w:hAnsi="Arial" w:cs="Arial"/>
        </w:rPr>
        <w:t>than to develop on-site generatio</w:t>
      </w:r>
      <w:r w:rsidR="00EF27D1" w:rsidRPr="00C80D20">
        <w:rPr>
          <w:rFonts w:ascii="Arial" w:hAnsi="Arial" w:cs="Arial"/>
        </w:rPr>
        <w:t xml:space="preserve">n on the Council’s own </w:t>
      </w:r>
      <w:r w:rsidR="0098244F" w:rsidRPr="00C80D20">
        <w:rPr>
          <w:rFonts w:ascii="Arial" w:hAnsi="Arial" w:cs="Arial"/>
        </w:rPr>
        <w:t xml:space="preserve">land and </w:t>
      </w:r>
      <w:r w:rsidR="00EF27D1" w:rsidRPr="00C80D20">
        <w:rPr>
          <w:rFonts w:ascii="Arial" w:hAnsi="Arial" w:cs="Arial"/>
        </w:rPr>
        <w:t>buildings</w:t>
      </w:r>
      <w:r w:rsidR="00967809" w:rsidRPr="00C80D20">
        <w:rPr>
          <w:rFonts w:ascii="Arial" w:hAnsi="Arial" w:cs="Arial"/>
        </w:rPr>
        <w:t>. It is proposed to explore the possibility of sign up to a corporate PPA with a renewable energy generator via LASER’</w:t>
      </w:r>
      <w:r w:rsidR="00DD2A10" w:rsidRPr="00C80D20">
        <w:rPr>
          <w:rFonts w:ascii="Arial" w:hAnsi="Arial" w:cs="Arial"/>
        </w:rPr>
        <w:t>s access agreement</w:t>
      </w:r>
      <w:r w:rsidR="00967809" w:rsidRPr="00C80D20">
        <w:rPr>
          <w:rFonts w:ascii="Arial" w:hAnsi="Arial" w:cs="Arial"/>
        </w:rPr>
        <w:t xml:space="preserve">. This </w:t>
      </w:r>
      <w:r w:rsidR="000C33DB" w:rsidRPr="00C80D20">
        <w:rPr>
          <w:rFonts w:ascii="Arial" w:hAnsi="Arial" w:cs="Arial"/>
        </w:rPr>
        <w:t xml:space="preserve">would </w:t>
      </w:r>
      <w:r w:rsidR="00967809" w:rsidRPr="00C80D20">
        <w:rPr>
          <w:rFonts w:ascii="Arial" w:hAnsi="Arial" w:cs="Arial"/>
        </w:rPr>
        <w:t>mean that the council is more directly investing and supporting the development of renewable energy capacity beyond which is mandated by government towards reducing the carbon intensity of the national energy mix.</w:t>
      </w:r>
    </w:p>
    <w:p w14:paraId="130B9C7C" w14:textId="77777777" w:rsidR="00362C7B" w:rsidRDefault="00362C7B" w:rsidP="00362C7B">
      <w:pPr>
        <w:pStyle w:val="ListParagraph"/>
        <w:numPr>
          <w:ilvl w:val="0"/>
          <w:numId w:val="0"/>
        </w:numPr>
        <w:ind w:left="360"/>
      </w:pPr>
    </w:p>
    <w:p w14:paraId="01A2405D" w14:textId="642F3CBE" w:rsidR="00AC646E" w:rsidRDefault="00967809" w:rsidP="00E0762C">
      <w:pPr>
        <w:pStyle w:val="Default"/>
        <w:numPr>
          <w:ilvl w:val="0"/>
          <w:numId w:val="34"/>
        </w:numPr>
        <w:rPr>
          <w:rFonts w:ascii="Arial" w:hAnsi="Arial" w:cs="Arial"/>
        </w:rPr>
      </w:pPr>
      <w:r>
        <w:rPr>
          <w:rFonts w:ascii="Arial" w:hAnsi="Arial" w:cs="Arial"/>
        </w:rPr>
        <w:t xml:space="preserve">This also aligns with the council’s aspirations to </w:t>
      </w:r>
      <w:r w:rsidR="00290382">
        <w:rPr>
          <w:rFonts w:ascii="Arial" w:hAnsi="Arial" w:cs="Arial"/>
        </w:rPr>
        <w:t xml:space="preserve">go further and faster than the legal target for the UK to reach </w:t>
      </w:r>
      <w:r>
        <w:rPr>
          <w:rFonts w:ascii="Arial" w:hAnsi="Arial" w:cs="Arial"/>
        </w:rPr>
        <w:t xml:space="preserve">net-zero carbon </w:t>
      </w:r>
      <w:r w:rsidR="00290382">
        <w:rPr>
          <w:rFonts w:ascii="Arial" w:hAnsi="Arial" w:cs="Arial"/>
        </w:rPr>
        <w:t xml:space="preserve">emissions by </w:t>
      </w:r>
      <w:r>
        <w:rPr>
          <w:rFonts w:ascii="Arial" w:hAnsi="Arial" w:cs="Arial"/>
        </w:rPr>
        <w:t>2050</w:t>
      </w:r>
      <w:r w:rsidR="00290382">
        <w:rPr>
          <w:rFonts w:ascii="Arial" w:hAnsi="Arial" w:cs="Arial"/>
        </w:rPr>
        <w:t xml:space="preserve"> </w:t>
      </w:r>
      <w:r>
        <w:rPr>
          <w:rFonts w:ascii="Arial" w:hAnsi="Arial" w:cs="Arial"/>
        </w:rPr>
        <w:t xml:space="preserve">with the council effectively investing in much larger scale </w:t>
      </w:r>
      <w:r w:rsidR="000B0D43">
        <w:rPr>
          <w:rFonts w:ascii="Arial" w:hAnsi="Arial" w:cs="Arial"/>
        </w:rPr>
        <w:t>renewable energy</w:t>
      </w:r>
      <w:r>
        <w:rPr>
          <w:rFonts w:ascii="Arial" w:hAnsi="Arial" w:cs="Arial"/>
        </w:rPr>
        <w:t xml:space="preserve"> projects than it would be able to achieve on its own buildings and assets</w:t>
      </w:r>
      <w:r w:rsidR="00EB3B60">
        <w:rPr>
          <w:rFonts w:ascii="Arial" w:hAnsi="Arial" w:cs="Arial"/>
        </w:rPr>
        <w:t>. It also</w:t>
      </w:r>
      <w:r>
        <w:rPr>
          <w:rFonts w:ascii="Arial" w:hAnsi="Arial" w:cs="Arial"/>
        </w:rPr>
        <w:t xml:space="preserve"> provides price certainty on supplies</w:t>
      </w:r>
      <w:r w:rsidR="0033492D">
        <w:rPr>
          <w:rFonts w:ascii="Arial" w:hAnsi="Arial" w:cs="Arial"/>
        </w:rPr>
        <w:t xml:space="preserve"> </w:t>
      </w:r>
      <w:r>
        <w:rPr>
          <w:rFonts w:ascii="Arial" w:hAnsi="Arial" w:cs="Arial"/>
        </w:rPr>
        <w:t>fixed over a longer term than has traditionally been purchased.</w:t>
      </w:r>
      <w:r w:rsidR="00930412">
        <w:rPr>
          <w:rFonts w:ascii="Arial" w:hAnsi="Arial" w:cs="Arial"/>
        </w:rPr>
        <w:t xml:space="preserve"> Whilst the PPA option has advantages in terms of supporting new, possibly local, renewable energy it does tie the council into long term contracts</w:t>
      </w:r>
      <w:r w:rsidR="000B0D43">
        <w:rPr>
          <w:rFonts w:ascii="Arial" w:hAnsi="Arial" w:cs="Arial"/>
        </w:rPr>
        <w:t>, rather than the revolving fou</w:t>
      </w:r>
      <w:r w:rsidR="00BF043C">
        <w:rPr>
          <w:rFonts w:ascii="Arial" w:hAnsi="Arial" w:cs="Arial"/>
        </w:rPr>
        <w:t xml:space="preserve">r year terms </w:t>
      </w:r>
      <w:proofErr w:type="gramStart"/>
      <w:r w:rsidR="00BF043C">
        <w:rPr>
          <w:rFonts w:ascii="Arial" w:hAnsi="Arial" w:cs="Arial"/>
        </w:rPr>
        <w:t>that have</w:t>
      </w:r>
      <w:proofErr w:type="gramEnd"/>
      <w:r w:rsidR="00BF043C">
        <w:rPr>
          <w:rFonts w:ascii="Arial" w:hAnsi="Arial" w:cs="Arial"/>
        </w:rPr>
        <w:t xml:space="preserve"> served it</w:t>
      </w:r>
      <w:r w:rsidR="000B0D43">
        <w:rPr>
          <w:rFonts w:ascii="Arial" w:hAnsi="Arial" w:cs="Arial"/>
        </w:rPr>
        <w:t xml:space="preserve"> well in recent years.</w:t>
      </w:r>
      <w:r w:rsidR="00AC646E">
        <w:rPr>
          <w:rFonts w:ascii="Arial" w:hAnsi="Arial" w:cs="Arial"/>
        </w:rPr>
        <w:t xml:space="preserve"> If the possibility of an attractive PPA does emerge it is proposed that a further report to Cabinet setting out the risks and benefits would be made.</w:t>
      </w:r>
    </w:p>
    <w:p w14:paraId="488BE31C" w14:textId="77777777" w:rsidR="009861B5" w:rsidRPr="009861B5" w:rsidRDefault="00930412" w:rsidP="00273A39">
      <w:pPr>
        <w:pStyle w:val="Default"/>
        <w:rPr>
          <w:rFonts w:cs="Arial"/>
        </w:rPr>
      </w:pPr>
      <w:r>
        <w:rPr>
          <w:rFonts w:ascii="Arial" w:hAnsi="Arial" w:cs="Arial"/>
        </w:rPr>
        <w:t xml:space="preserve"> </w:t>
      </w:r>
      <w:r w:rsidR="00DD2A10">
        <w:rPr>
          <w:rFonts w:ascii="Arial" w:hAnsi="Arial" w:cs="Arial"/>
        </w:rPr>
        <w:t xml:space="preserve"> </w:t>
      </w:r>
    </w:p>
    <w:p w14:paraId="39949346" w14:textId="77777777" w:rsidR="009861B5" w:rsidRPr="003D6955" w:rsidRDefault="009861B5" w:rsidP="009861B5">
      <w:pPr>
        <w:rPr>
          <w:rFonts w:cs="Arial"/>
          <w:b/>
        </w:rPr>
      </w:pPr>
      <w:r w:rsidRPr="003D6955">
        <w:rPr>
          <w:rFonts w:cs="Arial"/>
          <w:b/>
        </w:rPr>
        <w:t>Legal issues</w:t>
      </w:r>
    </w:p>
    <w:p w14:paraId="622FA3BC" w14:textId="77777777" w:rsidR="00C80D20" w:rsidRPr="00362C7B" w:rsidRDefault="009861B5" w:rsidP="00C80D20">
      <w:pPr>
        <w:pStyle w:val="Default"/>
        <w:numPr>
          <w:ilvl w:val="0"/>
          <w:numId w:val="34"/>
        </w:numPr>
        <w:rPr>
          <w:rFonts w:cs="Arial"/>
        </w:rPr>
      </w:pPr>
      <w:r w:rsidRPr="00466EEA">
        <w:rPr>
          <w:rFonts w:ascii="Arial" w:hAnsi="Arial" w:cs="Arial"/>
        </w:rPr>
        <w:t xml:space="preserve">Kent County Council (KCC) is the ‘Contracting Authority’ for the flexible energy supply contracts operated by LASER. The energy supply contracts are procured through OJEU compliant tender processes. KCC is a ‘Central Purchasing Body’ (‘CPB’), </w:t>
      </w:r>
      <w:r w:rsidR="000543B0" w:rsidRPr="000543B0">
        <w:rPr>
          <w:rFonts w:ascii="Arial" w:hAnsi="Arial" w:cs="Arial"/>
        </w:rPr>
        <w:t xml:space="preserve">a contracting authority which provides centralised purchasing activities </w:t>
      </w:r>
      <w:r w:rsidRPr="00466EEA">
        <w:rPr>
          <w:rFonts w:ascii="Arial" w:hAnsi="Arial" w:cs="Arial"/>
        </w:rPr>
        <w:t>as specified in the Public Contract Regulations 20</w:t>
      </w:r>
      <w:r w:rsidR="00767DA0">
        <w:rPr>
          <w:rFonts w:ascii="Arial" w:hAnsi="Arial" w:cs="Arial"/>
        </w:rPr>
        <w:t>15</w:t>
      </w:r>
      <w:r w:rsidRPr="00466EEA">
        <w:rPr>
          <w:rFonts w:ascii="Arial" w:hAnsi="Arial" w:cs="Arial"/>
        </w:rPr>
        <w:t xml:space="preserve">. As such, other public sector bodies are able to use the energy supply contracts without having to run separate OJEU tender processes for either the appointment of energy suppliers or LASER’s contract management services. </w:t>
      </w:r>
    </w:p>
    <w:p w14:paraId="0A358003" w14:textId="77777777" w:rsidR="00362C7B" w:rsidRPr="00C80D20" w:rsidRDefault="00362C7B" w:rsidP="00362C7B">
      <w:pPr>
        <w:pStyle w:val="Default"/>
        <w:ind w:left="360"/>
        <w:rPr>
          <w:rFonts w:cs="Arial"/>
        </w:rPr>
      </w:pPr>
    </w:p>
    <w:p w14:paraId="417CB52D" w14:textId="7987A057" w:rsidR="00362C7B" w:rsidRPr="00362C7B" w:rsidRDefault="009861B5" w:rsidP="00362C7B">
      <w:pPr>
        <w:pStyle w:val="Default"/>
        <w:numPr>
          <w:ilvl w:val="0"/>
          <w:numId w:val="34"/>
        </w:numPr>
        <w:rPr>
          <w:rFonts w:cs="Arial"/>
        </w:rPr>
      </w:pPr>
      <w:r w:rsidRPr="00466EEA">
        <w:rPr>
          <w:rFonts w:ascii="Arial" w:hAnsi="Arial" w:cs="Arial"/>
        </w:rPr>
        <w:t xml:space="preserve">An ‘Open Procedure’ procurement process, in accordance with , </w:t>
      </w:r>
      <w:r w:rsidR="00637D6D">
        <w:rPr>
          <w:rFonts w:ascii="Arial" w:hAnsi="Arial" w:cs="Arial"/>
        </w:rPr>
        <w:t xml:space="preserve"> the</w:t>
      </w:r>
      <w:r w:rsidR="00C80D20">
        <w:rPr>
          <w:rFonts w:cs="Arial"/>
        </w:rPr>
        <w:t xml:space="preserve"> </w:t>
      </w:r>
      <w:r w:rsidR="0040100C" w:rsidRPr="00C80D20">
        <w:rPr>
          <w:rFonts w:cs="Arial"/>
        </w:rPr>
        <w:t xml:space="preserve">legal framework for utilities procurement in the UK </w:t>
      </w:r>
      <w:r w:rsidR="00637D6D" w:rsidRPr="00C80D20">
        <w:rPr>
          <w:rFonts w:cs="Arial"/>
        </w:rPr>
        <w:t>a</w:t>
      </w:r>
      <w:r w:rsidR="0040100C" w:rsidRPr="00C80D20">
        <w:rPr>
          <w:rFonts w:cs="Arial"/>
        </w:rPr>
        <w:t>s set out in</w:t>
      </w:r>
      <w:r w:rsidR="00637D6D" w:rsidRPr="00C80D20">
        <w:rPr>
          <w:rFonts w:cs="Arial"/>
        </w:rPr>
        <w:t xml:space="preserve"> the </w:t>
      </w:r>
      <w:hyperlink r:id="rId10" w:history="1">
        <w:r w:rsidR="0040100C" w:rsidRPr="00C80D20">
          <w:rPr>
            <w:rStyle w:val="Hyperlink"/>
            <w:rFonts w:ascii="Tahoma" w:hAnsi="Tahoma" w:cs="Arial"/>
            <w:iCs/>
          </w:rPr>
          <w:t xml:space="preserve">Directive 2014/25/EU of the European Parliament and of the Council of 26 February 2014 on procurement by entities operating in the water, energy, transport and postal services sectors and repealing Directive 2004/17/EC </w:t>
        </w:r>
      </w:hyperlink>
      <w:r w:rsidR="005550BC">
        <w:rPr>
          <w:rFonts w:cs="Arial"/>
        </w:rPr>
        <w:t xml:space="preserve">(Utilities Directive 2014) </w:t>
      </w:r>
      <w:r w:rsidR="00637D6D" w:rsidRPr="00C80D20">
        <w:rPr>
          <w:rFonts w:ascii="Arial" w:hAnsi="Arial" w:cs="Arial"/>
        </w:rPr>
        <w:t xml:space="preserve">will </w:t>
      </w:r>
      <w:r w:rsidRPr="00C80D20">
        <w:rPr>
          <w:rFonts w:ascii="Arial" w:hAnsi="Arial" w:cs="Arial"/>
        </w:rPr>
        <w:t>be utilised for the tender and award of flexible energy supply contracts for the period October 20</w:t>
      </w:r>
      <w:r w:rsidR="006C4647" w:rsidRPr="00C80D20">
        <w:rPr>
          <w:rFonts w:ascii="Arial" w:hAnsi="Arial" w:cs="Arial"/>
        </w:rPr>
        <w:t>20</w:t>
      </w:r>
      <w:r w:rsidRPr="00C80D20">
        <w:rPr>
          <w:rFonts w:ascii="Arial" w:hAnsi="Arial" w:cs="Arial"/>
        </w:rPr>
        <w:t xml:space="preserve"> – September 202</w:t>
      </w:r>
      <w:r w:rsidR="006C4647" w:rsidRPr="00C80D20">
        <w:rPr>
          <w:rFonts w:ascii="Arial" w:hAnsi="Arial" w:cs="Arial"/>
        </w:rPr>
        <w:t>4</w:t>
      </w:r>
      <w:r w:rsidRPr="00C80D20">
        <w:rPr>
          <w:rFonts w:ascii="Arial" w:hAnsi="Arial" w:cs="Arial"/>
        </w:rPr>
        <w:t xml:space="preserve">. </w:t>
      </w:r>
      <w:r w:rsidR="000B0D43" w:rsidRPr="00C80D20">
        <w:rPr>
          <w:rFonts w:ascii="Arial" w:hAnsi="Arial" w:cs="Arial"/>
        </w:rPr>
        <w:t>Officers are exploring the possibility of “</w:t>
      </w:r>
      <w:proofErr w:type="spellStart"/>
      <w:r w:rsidR="000B0D43" w:rsidRPr="00C80D20">
        <w:rPr>
          <w:rFonts w:ascii="Arial" w:hAnsi="Arial" w:cs="Arial"/>
        </w:rPr>
        <w:t>sleeving</w:t>
      </w:r>
      <w:proofErr w:type="spellEnd"/>
      <w:r w:rsidR="000B0D43" w:rsidRPr="00C80D20">
        <w:rPr>
          <w:rFonts w:ascii="Arial" w:hAnsi="Arial" w:cs="Arial"/>
        </w:rPr>
        <w:t xml:space="preserve">” a PPA into the </w:t>
      </w:r>
      <w:r w:rsidR="000B0D43" w:rsidRPr="00C80D20">
        <w:rPr>
          <w:rFonts w:ascii="Arial" w:hAnsi="Arial" w:cs="Arial"/>
        </w:rPr>
        <w:lastRenderedPageBreak/>
        <w:t>LASER contract, which is a</w:t>
      </w:r>
      <w:r w:rsidR="000543B0" w:rsidRPr="00C80D20">
        <w:rPr>
          <w:rFonts w:ascii="Arial" w:hAnsi="Arial" w:cs="Arial"/>
        </w:rPr>
        <w:t>n</w:t>
      </w:r>
      <w:r w:rsidR="000B0D43" w:rsidRPr="00C80D20">
        <w:rPr>
          <w:rFonts w:ascii="Arial" w:hAnsi="Arial" w:cs="Arial"/>
        </w:rPr>
        <w:t xml:space="preserve"> established mechanism in the market to fix one component within a broader supply agreement.</w:t>
      </w:r>
      <w:bookmarkStart w:id="1" w:name="para20"/>
    </w:p>
    <w:p w14:paraId="61190069" w14:textId="77777777" w:rsidR="00362C7B" w:rsidRPr="00362C7B" w:rsidRDefault="00362C7B" w:rsidP="00362C7B">
      <w:pPr>
        <w:pStyle w:val="ListParagraph"/>
        <w:numPr>
          <w:ilvl w:val="0"/>
          <w:numId w:val="0"/>
        </w:numPr>
        <w:ind w:left="360"/>
        <w:rPr>
          <w:rFonts w:cs="Arial"/>
        </w:rPr>
      </w:pPr>
    </w:p>
    <w:p w14:paraId="79CD2FB7" w14:textId="68EFB969" w:rsidR="009861B5" w:rsidRPr="00C80D20" w:rsidRDefault="008410E6" w:rsidP="009861B5">
      <w:pPr>
        <w:pStyle w:val="Default"/>
        <w:numPr>
          <w:ilvl w:val="0"/>
          <w:numId w:val="34"/>
        </w:numPr>
        <w:rPr>
          <w:rFonts w:cs="Arial"/>
        </w:rPr>
      </w:pPr>
      <w:r w:rsidRPr="00C80D20">
        <w:rPr>
          <w:rFonts w:ascii="Arial" w:hAnsi="Arial" w:cs="Arial"/>
        </w:rPr>
        <w:t xml:space="preserve">Under s111 of the Local Government Act 1972 </w:t>
      </w:r>
      <w:r w:rsidR="00637D6D" w:rsidRPr="00C80D20">
        <w:rPr>
          <w:rFonts w:ascii="Arial" w:hAnsi="Arial" w:cs="Arial"/>
        </w:rPr>
        <w:t xml:space="preserve">the Council as </w:t>
      </w:r>
      <w:r w:rsidRPr="00C80D20">
        <w:rPr>
          <w:rFonts w:ascii="Arial" w:hAnsi="Arial" w:cs="Arial"/>
        </w:rPr>
        <w:t xml:space="preserve">a local authority has power to do anything which is calculated to facilitate, or is conducive or incidental to, the discharge of any of </w:t>
      </w:r>
      <w:r w:rsidR="00637D6D" w:rsidRPr="00C80D20">
        <w:rPr>
          <w:rFonts w:ascii="Arial" w:hAnsi="Arial" w:cs="Arial"/>
        </w:rPr>
        <w:t>i</w:t>
      </w:r>
      <w:r w:rsidRPr="00C80D20">
        <w:rPr>
          <w:rFonts w:ascii="Arial" w:hAnsi="Arial" w:cs="Arial"/>
        </w:rPr>
        <w:t>t</w:t>
      </w:r>
      <w:r w:rsidR="00637D6D" w:rsidRPr="00C80D20">
        <w:rPr>
          <w:rFonts w:ascii="Arial" w:hAnsi="Arial" w:cs="Arial"/>
        </w:rPr>
        <w:t>s</w:t>
      </w:r>
      <w:r w:rsidRPr="00C80D20">
        <w:rPr>
          <w:rFonts w:ascii="Arial" w:hAnsi="Arial" w:cs="Arial"/>
        </w:rPr>
        <w:t xml:space="preserve"> functions</w:t>
      </w:r>
      <w:bookmarkEnd w:id="1"/>
      <w:r w:rsidR="00637D6D" w:rsidRPr="00C80D20">
        <w:rPr>
          <w:rFonts w:ascii="Arial" w:hAnsi="Arial" w:cs="Arial"/>
        </w:rPr>
        <w:t>. I</w:t>
      </w:r>
      <w:r w:rsidR="0040100C" w:rsidRPr="00C80D20">
        <w:rPr>
          <w:rFonts w:ascii="Arial" w:hAnsi="Arial" w:cs="Arial"/>
        </w:rPr>
        <w:t xml:space="preserve">n this instance the Council is purchasing energy (gas and electricity) to facilitate the </w:t>
      </w:r>
      <w:r w:rsidR="00637D6D" w:rsidRPr="00C80D20">
        <w:rPr>
          <w:rFonts w:ascii="Arial" w:hAnsi="Arial" w:cs="Arial"/>
        </w:rPr>
        <w:t>discharge of its functions</w:t>
      </w:r>
      <w:r w:rsidRPr="00C80D20">
        <w:rPr>
          <w:rFonts w:ascii="Arial" w:hAnsi="Arial" w:cs="Arial"/>
        </w:rPr>
        <w:t>.</w:t>
      </w:r>
    </w:p>
    <w:p w14:paraId="4FAC67EE" w14:textId="77777777" w:rsidR="00824B46" w:rsidRPr="003D6955" w:rsidRDefault="00824B46" w:rsidP="009861B5">
      <w:pPr>
        <w:pStyle w:val="Default"/>
        <w:rPr>
          <w:rFonts w:ascii="Arial" w:hAnsi="Arial" w:cs="Arial"/>
        </w:rPr>
      </w:pPr>
    </w:p>
    <w:p w14:paraId="241BF765" w14:textId="77777777" w:rsidR="009861B5" w:rsidRPr="003D6955" w:rsidRDefault="009861B5" w:rsidP="009861B5">
      <w:pPr>
        <w:rPr>
          <w:rFonts w:cs="Arial"/>
          <w:b/>
        </w:rPr>
      </w:pPr>
      <w:r w:rsidRPr="003D6955">
        <w:rPr>
          <w:rFonts w:cs="Arial"/>
          <w:b/>
        </w:rPr>
        <w:t>Financial Issues</w:t>
      </w:r>
    </w:p>
    <w:p w14:paraId="5FEEA0AD" w14:textId="77777777" w:rsidR="00171932" w:rsidRDefault="005C087B" w:rsidP="00E0762C">
      <w:pPr>
        <w:pStyle w:val="Default"/>
        <w:numPr>
          <w:ilvl w:val="0"/>
          <w:numId w:val="34"/>
        </w:numPr>
        <w:rPr>
          <w:rFonts w:ascii="Arial" w:hAnsi="Arial" w:cs="Arial"/>
        </w:rPr>
      </w:pPr>
      <w:r>
        <w:rPr>
          <w:rFonts w:ascii="Arial" w:hAnsi="Arial" w:cs="Arial"/>
        </w:rPr>
        <w:t xml:space="preserve">Whilst it is proposed to continue initially with purchasing via the Purchase in Advance basket option, alternative basket options (PWP and FSAR) will be continued to be reviewed throughout the year ahead of the annual decision date with LASER. </w:t>
      </w:r>
    </w:p>
    <w:p w14:paraId="1F32E596" w14:textId="77777777" w:rsidR="00362C7B" w:rsidRDefault="00362C7B" w:rsidP="00362C7B">
      <w:pPr>
        <w:pStyle w:val="Default"/>
        <w:rPr>
          <w:rFonts w:ascii="Arial" w:hAnsi="Arial" w:cs="Arial"/>
        </w:rPr>
      </w:pPr>
    </w:p>
    <w:p w14:paraId="1A55E601" w14:textId="77777777" w:rsidR="00FE3B46" w:rsidRDefault="006C4647" w:rsidP="00E0762C">
      <w:pPr>
        <w:pStyle w:val="Default"/>
        <w:numPr>
          <w:ilvl w:val="0"/>
          <w:numId w:val="34"/>
        </w:numPr>
        <w:rPr>
          <w:rFonts w:ascii="Arial" w:hAnsi="Arial" w:cs="Arial"/>
        </w:rPr>
      </w:pPr>
      <w:r w:rsidRPr="00AC646E">
        <w:rPr>
          <w:rFonts w:ascii="Arial" w:hAnsi="Arial" w:cs="Arial"/>
        </w:rPr>
        <w:t xml:space="preserve">A decision on </w:t>
      </w:r>
      <w:r w:rsidR="009952CB" w:rsidRPr="00FE3B46">
        <w:rPr>
          <w:rFonts w:ascii="Arial" w:hAnsi="Arial" w:cs="Arial"/>
        </w:rPr>
        <w:t xml:space="preserve">which </w:t>
      </w:r>
      <w:r w:rsidRPr="00FE3B46">
        <w:rPr>
          <w:rFonts w:ascii="Arial" w:hAnsi="Arial" w:cs="Arial"/>
        </w:rPr>
        <w:t xml:space="preserve">purchasing basket to use needs to be made by 31 March each year ahead of the contract start date (1 October). </w:t>
      </w:r>
    </w:p>
    <w:p w14:paraId="7E9E6BB4" w14:textId="77777777" w:rsidR="00362C7B" w:rsidRPr="00362C7B" w:rsidRDefault="00362C7B" w:rsidP="00362C7B">
      <w:pPr>
        <w:pStyle w:val="ListParagraph"/>
        <w:numPr>
          <w:ilvl w:val="0"/>
          <w:numId w:val="0"/>
        </w:numPr>
        <w:ind w:left="360"/>
        <w:rPr>
          <w:rFonts w:cs="Arial"/>
        </w:rPr>
      </w:pPr>
    </w:p>
    <w:p w14:paraId="30738F1A" w14:textId="521F236A" w:rsidR="00C80D20" w:rsidRPr="009D5015" w:rsidRDefault="009D5015" w:rsidP="009D5015">
      <w:pPr>
        <w:spacing w:after="0"/>
        <w:rPr>
          <w:rFonts w:cs="Arial"/>
        </w:rPr>
      </w:pPr>
      <w:r>
        <w:t>38</w:t>
      </w:r>
      <w:proofErr w:type="gramStart"/>
      <w:r>
        <w:t>.</w:t>
      </w:r>
      <w:r w:rsidR="00FE3B46" w:rsidRPr="005550BC">
        <w:rPr>
          <w:rFonts w:eastAsiaTheme="minorHAnsi" w:cs="Arial"/>
          <w:lang w:eastAsia="en-US"/>
        </w:rPr>
        <w:t>The</w:t>
      </w:r>
      <w:proofErr w:type="gramEnd"/>
      <w:r w:rsidR="00FE3B46" w:rsidRPr="005550BC">
        <w:rPr>
          <w:rFonts w:eastAsiaTheme="minorHAnsi" w:cs="Arial"/>
          <w:lang w:eastAsia="en-US"/>
        </w:rPr>
        <w:t xml:space="preserve"> option to require certified renewable gas supply is estimated to be </w:t>
      </w:r>
      <w:r w:rsidR="00E27F0F" w:rsidRPr="005550BC">
        <w:rPr>
          <w:rFonts w:eastAsiaTheme="minorHAnsi" w:cs="Arial"/>
          <w:lang w:eastAsia="en-US"/>
        </w:rPr>
        <w:t>c.</w:t>
      </w:r>
      <w:r w:rsidR="00FE3B46" w:rsidRPr="005550BC">
        <w:rPr>
          <w:rFonts w:eastAsiaTheme="minorHAnsi" w:cs="Arial"/>
          <w:lang w:eastAsia="en-US"/>
        </w:rPr>
        <w:t>£</w:t>
      </w:r>
      <w:r w:rsidR="00EE0388" w:rsidRPr="005550BC">
        <w:rPr>
          <w:rFonts w:eastAsiaTheme="minorHAnsi" w:cs="Arial"/>
          <w:lang w:eastAsia="en-US"/>
        </w:rPr>
        <w:t>64</w:t>
      </w:r>
      <w:r w:rsidR="00FE3B46" w:rsidRPr="005550BC">
        <w:rPr>
          <w:rFonts w:eastAsiaTheme="minorHAnsi" w:cs="Arial"/>
          <w:lang w:eastAsia="en-US"/>
        </w:rPr>
        <w:t>k per annum</w:t>
      </w:r>
      <w:r w:rsidR="00E27F0F" w:rsidRPr="005550BC">
        <w:rPr>
          <w:rFonts w:eastAsiaTheme="minorHAnsi" w:cs="Arial"/>
          <w:lang w:eastAsia="en-US"/>
        </w:rPr>
        <w:t>, c.£5k per annum for certified renewable electricity</w:t>
      </w:r>
      <w:r w:rsidR="00FE3B46" w:rsidRPr="005550BC">
        <w:rPr>
          <w:rFonts w:eastAsiaTheme="minorHAnsi" w:cs="Arial"/>
          <w:lang w:eastAsia="en-US"/>
        </w:rPr>
        <w:t>.</w:t>
      </w:r>
    </w:p>
    <w:p w14:paraId="28A554C1" w14:textId="77777777" w:rsidR="00362C7B" w:rsidRPr="00362C7B" w:rsidRDefault="00362C7B" w:rsidP="00362C7B">
      <w:pPr>
        <w:spacing w:after="0"/>
        <w:rPr>
          <w:rFonts w:cs="Arial"/>
        </w:rPr>
      </w:pPr>
    </w:p>
    <w:p w14:paraId="0D6F4530" w14:textId="055A1BCA" w:rsidR="00FE3B46" w:rsidRPr="009D5015" w:rsidRDefault="009D5015" w:rsidP="009D5015">
      <w:pPr>
        <w:spacing w:after="0"/>
        <w:rPr>
          <w:rFonts w:cs="Arial"/>
        </w:rPr>
      </w:pPr>
      <w:r>
        <w:rPr>
          <w:rFonts w:cs="Arial"/>
        </w:rPr>
        <w:t>39</w:t>
      </w:r>
      <w:proofErr w:type="gramStart"/>
      <w:r>
        <w:rPr>
          <w:rFonts w:cs="Arial"/>
        </w:rPr>
        <w:t>.</w:t>
      </w:r>
      <w:r w:rsidR="00FE3B46" w:rsidRPr="009D5015">
        <w:rPr>
          <w:rFonts w:cs="Arial"/>
        </w:rPr>
        <w:t>The</w:t>
      </w:r>
      <w:proofErr w:type="gramEnd"/>
      <w:r w:rsidR="00FE3B46" w:rsidRPr="009D5015">
        <w:rPr>
          <w:rFonts w:cs="Arial"/>
        </w:rPr>
        <w:t xml:space="preserve"> amount to offset fuel purchase at current levels is estimated to be </w:t>
      </w:r>
      <w:r w:rsidR="00E27F0F" w:rsidRPr="009D5015">
        <w:rPr>
          <w:rFonts w:cs="Arial"/>
        </w:rPr>
        <w:t>c.</w:t>
      </w:r>
      <w:r w:rsidR="00FE3B46" w:rsidRPr="009D5015">
        <w:rPr>
          <w:rFonts w:cs="Arial"/>
        </w:rPr>
        <w:t>£</w:t>
      </w:r>
      <w:r w:rsidR="00E27F0F" w:rsidRPr="009D5015">
        <w:rPr>
          <w:rFonts w:cs="Arial"/>
        </w:rPr>
        <w:t xml:space="preserve">30k </w:t>
      </w:r>
      <w:r w:rsidR="00FE3B46" w:rsidRPr="009D5015">
        <w:rPr>
          <w:rFonts w:cs="Arial"/>
        </w:rPr>
        <w:t>per annum.</w:t>
      </w:r>
    </w:p>
    <w:p w14:paraId="785F9F71" w14:textId="77777777" w:rsidR="00362C7B" w:rsidRPr="00362C7B" w:rsidRDefault="00362C7B" w:rsidP="00362C7B">
      <w:pPr>
        <w:pStyle w:val="ListParagraph"/>
        <w:numPr>
          <w:ilvl w:val="0"/>
          <w:numId w:val="0"/>
        </w:numPr>
        <w:ind w:left="360"/>
        <w:rPr>
          <w:rFonts w:cs="Arial"/>
        </w:rPr>
      </w:pPr>
    </w:p>
    <w:p w14:paraId="00BE079A" w14:textId="51502A19" w:rsidR="00FE3B46" w:rsidRPr="009D5015" w:rsidRDefault="009D5015" w:rsidP="009D5015">
      <w:pPr>
        <w:spacing w:after="0"/>
        <w:ind w:left="360" w:hanging="360"/>
        <w:rPr>
          <w:rFonts w:cs="Arial"/>
        </w:rPr>
      </w:pPr>
      <w:r>
        <w:rPr>
          <w:rFonts w:cs="Arial"/>
        </w:rPr>
        <w:t>40</w:t>
      </w:r>
      <w:proofErr w:type="gramStart"/>
      <w:r>
        <w:rPr>
          <w:rFonts w:cs="Arial"/>
        </w:rPr>
        <w:t>.</w:t>
      </w:r>
      <w:r w:rsidR="00E27F0F" w:rsidRPr="009D5015">
        <w:rPr>
          <w:rFonts w:cs="Arial"/>
        </w:rPr>
        <w:t>T</w:t>
      </w:r>
      <w:r w:rsidR="00FE3B46" w:rsidRPr="009D5015">
        <w:rPr>
          <w:rFonts w:cs="Arial"/>
        </w:rPr>
        <w:t>hese</w:t>
      </w:r>
      <w:proofErr w:type="gramEnd"/>
      <w:r w:rsidR="00FE3B46" w:rsidRPr="009D5015">
        <w:rPr>
          <w:rFonts w:cs="Arial"/>
        </w:rPr>
        <w:t xml:space="preserve"> sums have been included in the draft budget.</w:t>
      </w:r>
    </w:p>
    <w:p w14:paraId="15364529" w14:textId="77777777" w:rsidR="00EF27D1" w:rsidRDefault="00EF27D1" w:rsidP="00E0762C">
      <w:pPr>
        <w:pStyle w:val="Default"/>
        <w:ind w:left="360"/>
        <w:rPr>
          <w:rFonts w:cs="Arial"/>
          <w:b/>
        </w:rPr>
      </w:pPr>
    </w:p>
    <w:p w14:paraId="79875D15" w14:textId="77777777" w:rsidR="00C80D20" w:rsidRDefault="00C80D20" w:rsidP="00E0762C">
      <w:pPr>
        <w:pStyle w:val="Default"/>
        <w:ind w:left="360"/>
        <w:rPr>
          <w:rFonts w:cs="Arial"/>
          <w:b/>
        </w:rPr>
      </w:pPr>
    </w:p>
    <w:p w14:paraId="590AF1C1" w14:textId="77777777" w:rsidR="00C80D20" w:rsidRPr="003D6955" w:rsidRDefault="00C80D20" w:rsidP="00E0762C">
      <w:pPr>
        <w:pStyle w:val="Default"/>
        <w:ind w:left="360"/>
        <w:rPr>
          <w:rFonts w:cs="Arial"/>
          <w:b/>
        </w:rPr>
      </w:pPr>
    </w:p>
    <w:p w14:paraId="5E0801CC" w14:textId="77777777" w:rsidR="009861B5" w:rsidRPr="003D6955" w:rsidRDefault="009861B5" w:rsidP="009861B5">
      <w:pPr>
        <w:rPr>
          <w:rFonts w:cs="Arial"/>
          <w:b/>
        </w:rPr>
      </w:pPr>
      <w:r w:rsidRPr="003D6955">
        <w:rPr>
          <w:rFonts w:cs="Arial"/>
          <w:b/>
        </w:rPr>
        <w:t>Environmental Impact</w:t>
      </w:r>
    </w:p>
    <w:p w14:paraId="71DE979E" w14:textId="5F4ED6EC" w:rsidR="00362C7B" w:rsidRPr="009D5015" w:rsidRDefault="009D5015" w:rsidP="009D5015">
      <w:pPr>
        <w:shd w:val="clear" w:color="auto" w:fill="FFFFFF"/>
        <w:spacing w:after="0"/>
        <w:rPr>
          <w:rFonts w:ascii="Helvetica" w:hAnsi="Helvetica" w:cs="Helvetica"/>
          <w:color w:val="auto"/>
        </w:rPr>
      </w:pPr>
      <w:r>
        <w:rPr>
          <w:rFonts w:ascii="Helvetica" w:hAnsi="Helvetica" w:cs="Helvetica"/>
          <w:color w:val="auto"/>
        </w:rPr>
        <w:t>41</w:t>
      </w:r>
      <w:proofErr w:type="gramStart"/>
      <w:r>
        <w:rPr>
          <w:rFonts w:ascii="Helvetica" w:hAnsi="Helvetica" w:cs="Helvetica"/>
          <w:color w:val="auto"/>
        </w:rPr>
        <w:t>.</w:t>
      </w:r>
      <w:r w:rsidR="00A25515" w:rsidRPr="009D5015">
        <w:rPr>
          <w:rFonts w:ascii="Helvetica" w:hAnsi="Helvetica" w:cs="Helvetica"/>
          <w:color w:val="auto"/>
        </w:rPr>
        <w:t>Oxford</w:t>
      </w:r>
      <w:proofErr w:type="gramEnd"/>
      <w:r w:rsidR="00A25515" w:rsidRPr="009D5015">
        <w:rPr>
          <w:rFonts w:ascii="Helvetica" w:hAnsi="Helvetica" w:cs="Helvetica"/>
          <w:color w:val="auto"/>
        </w:rPr>
        <w:t xml:space="preserve"> City Council has reduced its own carbon emissions by more than 900 tonnes in the last year. This reduction is the equivalent amount of CO</w:t>
      </w:r>
      <w:r w:rsidR="00A25515" w:rsidRPr="009D5015">
        <w:rPr>
          <w:rFonts w:ascii="Helvetica" w:hAnsi="Helvetica" w:cs="Helvetica"/>
          <w:color w:val="auto"/>
          <w:vertAlign w:val="subscript"/>
        </w:rPr>
        <w:t>2</w:t>
      </w:r>
      <w:r w:rsidR="00A25515" w:rsidRPr="009D5015">
        <w:rPr>
          <w:rFonts w:ascii="Helvetica" w:hAnsi="Helvetica" w:cs="Helvetica"/>
          <w:color w:val="auto"/>
        </w:rPr>
        <w:t xml:space="preserve"> produced by a single car driving 2.9 million miles.</w:t>
      </w:r>
      <w:r w:rsidR="004D7F9B" w:rsidRPr="009D5015">
        <w:rPr>
          <w:rFonts w:ascii="Helvetica" w:hAnsi="Helvetica" w:cs="Helvetica"/>
          <w:color w:val="auto"/>
        </w:rPr>
        <w:t xml:space="preserve"> </w:t>
      </w:r>
      <w:r w:rsidR="00A25515" w:rsidRPr="009D5015">
        <w:rPr>
          <w:rFonts w:ascii="Helvetica" w:hAnsi="Helvetica" w:cs="Helvetica"/>
          <w:color w:val="auto"/>
        </w:rPr>
        <w:t>These latest figures show the council has reduced carbon emissions by 10% in a single year and over 40% in the last four years. Since 2015, the Council has reduced its annual emissions by the equivalent amount of CO</w:t>
      </w:r>
      <w:r w:rsidR="00A25515" w:rsidRPr="009D5015">
        <w:rPr>
          <w:rFonts w:ascii="Helvetica" w:hAnsi="Helvetica" w:cs="Helvetica"/>
          <w:color w:val="auto"/>
          <w:vertAlign w:val="subscript"/>
        </w:rPr>
        <w:t>2</w:t>
      </w:r>
      <w:r w:rsidR="00A25515" w:rsidRPr="009D5015">
        <w:rPr>
          <w:rFonts w:ascii="Helvetica" w:hAnsi="Helvetica" w:cs="Helvetica"/>
          <w:color w:val="auto"/>
        </w:rPr>
        <w:t> produced by a single car driving 12.6 million miles every year. The Council is committed to building on recent success and show further leadership.</w:t>
      </w:r>
    </w:p>
    <w:p w14:paraId="24B3A9B6" w14:textId="77777777" w:rsidR="00362C7B" w:rsidRPr="00362C7B" w:rsidRDefault="00362C7B" w:rsidP="00362C7B">
      <w:pPr>
        <w:shd w:val="clear" w:color="auto" w:fill="FFFFFF"/>
        <w:spacing w:after="0"/>
        <w:rPr>
          <w:rFonts w:ascii="Helvetica" w:hAnsi="Helvetica" w:cs="Helvetica"/>
          <w:color w:val="auto"/>
        </w:rPr>
      </w:pPr>
    </w:p>
    <w:p w14:paraId="699AFFEE" w14:textId="6E97FFB0" w:rsidR="00290382" w:rsidRDefault="009D5015" w:rsidP="009D5015">
      <w:pPr>
        <w:pStyle w:val="Default"/>
        <w:rPr>
          <w:rFonts w:ascii="Arial" w:hAnsi="Arial" w:cs="Arial"/>
        </w:rPr>
      </w:pPr>
      <w:r>
        <w:rPr>
          <w:rFonts w:ascii="Arial" w:hAnsi="Arial" w:cs="Arial"/>
        </w:rPr>
        <w:t>41</w:t>
      </w:r>
      <w:proofErr w:type="gramStart"/>
      <w:r>
        <w:rPr>
          <w:rFonts w:ascii="Arial" w:hAnsi="Arial" w:cs="Arial"/>
        </w:rPr>
        <w:t>.</w:t>
      </w:r>
      <w:r w:rsidR="0068610E">
        <w:rPr>
          <w:rFonts w:ascii="Arial" w:hAnsi="Arial" w:cs="Arial"/>
        </w:rPr>
        <w:t>The</w:t>
      </w:r>
      <w:proofErr w:type="gramEnd"/>
      <w:r w:rsidR="0068610E">
        <w:rPr>
          <w:rFonts w:ascii="Arial" w:hAnsi="Arial" w:cs="Arial"/>
        </w:rPr>
        <w:t xml:space="preserve"> council currently purchases 100% certified </w:t>
      </w:r>
      <w:r w:rsidR="00B03C81">
        <w:rPr>
          <w:rFonts w:ascii="Arial" w:hAnsi="Arial" w:cs="Arial"/>
        </w:rPr>
        <w:t xml:space="preserve">renewable </w:t>
      </w:r>
      <w:r w:rsidR="0068610E">
        <w:rPr>
          <w:rFonts w:ascii="Arial" w:hAnsi="Arial" w:cs="Arial"/>
        </w:rPr>
        <w:t xml:space="preserve">electricity supplies but </w:t>
      </w:r>
      <w:r w:rsidR="00A25515">
        <w:rPr>
          <w:rFonts w:ascii="Arial" w:hAnsi="Arial" w:cs="Arial"/>
        </w:rPr>
        <w:t xml:space="preserve">has to remain </w:t>
      </w:r>
      <w:r w:rsidR="0068610E">
        <w:rPr>
          <w:rFonts w:ascii="Arial" w:hAnsi="Arial" w:cs="Arial"/>
        </w:rPr>
        <w:t xml:space="preserve">on brown/conventional gas supplies </w:t>
      </w:r>
      <w:r w:rsidR="004669DF">
        <w:rPr>
          <w:rFonts w:ascii="Arial" w:hAnsi="Arial" w:cs="Arial"/>
        </w:rPr>
        <w:t xml:space="preserve">until </w:t>
      </w:r>
      <w:r w:rsidR="00A25515">
        <w:rPr>
          <w:rFonts w:ascii="Arial" w:hAnsi="Arial" w:cs="Arial"/>
        </w:rPr>
        <w:t xml:space="preserve">the contract end point of </w:t>
      </w:r>
      <w:r w:rsidR="004669DF">
        <w:rPr>
          <w:rFonts w:ascii="Arial" w:hAnsi="Arial" w:cs="Arial"/>
        </w:rPr>
        <w:t>30 September 2020</w:t>
      </w:r>
      <w:r w:rsidR="0068610E">
        <w:rPr>
          <w:rFonts w:ascii="Arial" w:hAnsi="Arial" w:cs="Arial"/>
        </w:rPr>
        <w:t xml:space="preserve">. For the </w:t>
      </w:r>
      <w:r w:rsidR="004669DF">
        <w:rPr>
          <w:rFonts w:ascii="Arial" w:hAnsi="Arial" w:cs="Arial"/>
        </w:rPr>
        <w:t>Oct</w:t>
      </w:r>
      <w:r w:rsidR="00EB3B60">
        <w:rPr>
          <w:rFonts w:ascii="Arial" w:hAnsi="Arial" w:cs="Arial"/>
        </w:rPr>
        <w:t>ober</w:t>
      </w:r>
      <w:r w:rsidR="004669DF">
        <w:rPr>
          <w:rFonts w:ascii="Arial" w:hAnsi="Arial" w:cs="Arial"/>
        </w:rPr>
        <w:t xml:space="preserve"> 2020 to September 20</w:t>
      </w:r>
      <w:r w:rsidR="0068610E">
        <w:rPr>
          <w:rFonts w:ascii="Arial" w:hAnsi="Arial" w:cs="Arial"/>
        </w:rPr>
        <w:t>24 period, r</w:t>
      </w:r>
      <w:r w:rsidR="009861B5" w:rsidRPr="001E035F">
        <w:rPr>
          <w:rFonts w:ascii="Arial" w:hAnsi="Arial" w:cs="Arial"/>
        </w:rPr>
        <w:t xml:space="preserve">enewable energy </w:t>
      </w:r>
      <w:r w:rsidR="00201212">
        <w:rPr>
          <w:rFonts w:ascii="Arial" w:hAnsi="Arial" w:cs="Arial"/>
        </w:rPr>
        <w:t>supplies are</w:t>
      </w:r>
      <w:r w:rsidR="009861B5">
        <w:rPr>
          <w:rFonts w:ascii="Arial" w:hAnsi="Arial" w:cs="Arial"/>
        </w:rPr>
        <w:t xml:space="preserve"> </w:t>
      </w:r>
      <w:r w:rsidR="009861B5" w:rsidRPr="001E035F">
        <w:rPr>
          <w:rFonts w:ascii="Arial" w:hAnsi="Arial" w:cs="Arial"/>
        </w:rPr>
        <w:t xml:space="preserve">available in the entire LASER portfolio for the flexibly purchased supplies for the duration of the new frameworks through to </w:t>
      </w:r>
      <w:r w:rsidR="006C4647">
        <w:rPr>
          <w:rFonts w:ascii="Arial" w:hAnsi="Arial" w:cs="Arial"/>
        </w:rPr>
        <w:t xml:space="preserve">30 </w:t>
      </w:r>
      <w:r w:rsidR="009861B5" w:rsidRPr="001E035F">
        <w:rPr>
          <w:rFonts w:ascii="Arial" w:hAnsi="Arial" w:cs="Arial"/>
        </w:rPr>
        <w:t>September 202</w:t>
      </w:r>
      <w:r w:rsidR="006C4647">
        <w:rPr>
          <w:rFonts w:ascii="Arial" w:hAnsi="Arial" w:cs="Arial"/>
        </w:rPr>
        <w:t>4</w:t>
      </w:r>
      <w:r w:rsidR="009861B5" w:rsidRPr="001E035F">
        <w:rPr>
          <w:rFonts w:ascii="Arial" w:hAnsi="Arial" w:cs="Arial"/>
        </w:rPr>
        <w:t xml:space="preserve">. </w:t>
      </w:r>
      <w:r w:rsidR="00A25515">
        <w:rPr>
          <w:rFonts w:ascii="Arial" w:hAnsi="Arial" w:cs="Arial"/>
        </w:rPr>
        <w:t>T</w:t>
      </w:r>
      <w:r w:rsidR="009861B5">
        <w:rPr>
          <w:rFonts w:ascii="Arial" w:hAnsi="Arial" w:cs="Arial"/>
        </w:rPr>
        <w:t xml:space="preserve">here is no guarantee of 100% availability and </w:t>
      </w:r>
      <w:r w:rsidR="00A25515">
        <w:rPr>
          <w:rFonts w:ascii="Arial" w:hAnsi="Arial" w:cs="Arial"/>
        </w:rPr>
        <w:t xml:space="preserve">buying entirely clean supplies </w:t>
      </w:r>
      <w:r w:rsidR="009861B5">
        <w:rPr>
          <w:rFonts w:ascii="Arial" w:hAnsi="Arial" w:cs="Arial"/>
        </w:rPr>
        <w:t xml:space="preserve">would incur an additional </w:t>
      </w:r>
      <w:r w:rsidR="006C4647">
        <w:rPr>
          <w:rFonts w:ascii="Arial" w:hAnsi="Arial" w:cs="Arial"/>
        </w:rPr>
        <w:t xml:space="preserve">premium </w:t>
      </w:r>
      <w:r w:rsidR="00A25515">
        <w:rPr>
          <w:rFonts w:ascii="Arial" w:hAnsi="Arial" w:cs="Arial"/>
        </w:rPr>
        <w:t>for electricity (</w:t>
      </w:r>
      <w:r w:rsidR="006C4647">
        <w:rPr>
          <w:rFonts w:ascii="Arial" w:hAnsi="Arial" w:cs="Arial"/>
        </w:rPr>
        <w:t xml:space="preserve">of </w:t>
      </w:r>
      <w:r w:rsidR="0068610E">
        <w:rPr>
          <w:rFonts w:ascii="Arial" w:hAnsi="Arial" w:cs="Arial"/>
        </w:rPr>
        <w:t>ca</w:t>
      </w:r>
      <w:r w:rsidR="006C4647">
        <w:rPr>
          <w:rFonts w:ascii="Arial" w:hAnsi="Arial" w:cs="Arial"/>
        </w:rPr>
        <w:t>0.0</w:t>
      </w:r>
      <w:r w:rsidR="007373FF">
        <w:rPr>
          <w:rFonts w:ascii="Arial" w:hAnsi="Arial" w:cs="Arial"/>
        </w:rPr>
        <w:t>6</w:t>
      </w:r>
      <w:r w:rsidR="006C4647">
        <w:rPr>
          <w:rFonts w:ascii="Arial" w:hAnsi="Arial" w:cs="Arial"/>
        </w:rPr>
        <w:t>p/kWh</w:t>
      </w:r>
      <w:r w:rsidR="00A25515">
        <w:rPr>
          <w:rFonts w:ascii="Arial" w:hAnsi="Arial" w:cs="Arial"/>
        </w:rPr>
        <w:t>,</w:t>
      </w:r>
      <w:r w:rsidR="006C4647">
        <w:rPr>
          <w:rFonts w:ascii="Arial" w:hAnsi="Arial" w:cs="Arial"/>
        </w:rPr>
        <w:t xml:space="preserve"> </w:t>
      </w:r>
      <w:r w:rsidR="00024BB1">
        <w:rPr>
          <w:rFonts w:ascii="Arial" w:hAnsi="Arial" w:cs="Arial"/>
        </w:rPr>
        <w:t xml:space="preserve">ca </w:t>
      </w:r>
      <w:r w:rsidR="004669DF">
        <w:rPr>
          <w:rFonts w:ascii="Arial" w:hAnsi="Arial" w:cs="Arial"/>
        </w:rPr>
        <w:t xml:space="preserve">equivalent of </w:t>
      </w:r>
      <w:r w:rsidR="006C4647">
        <w:rPr>
          <w:rFonts w:ascii="Arial" w:hAnsi="Arial" w:cs="Arial"/>
        </w:rPr>
        <w:t>£</w:t>
      </w:r>
      <w:r w:rsidR="007373FF">
        <w:rPr>
          <w:rFonts w:ascii="Arial" w:hAnsi="Arial" w:cs="Arial"/>
        </w:rPr>
        <w:t>4</w:t>
      </w:r>
      <w:r w:rsidR="00201212">
        <w:rPr>
          <w:rFonts w:ascii="Arial" w:hAnsi="Arial" w:cs="Arial"/>
        </w:rPr>
        <w:t>,</w:t>
      </w:r>
      <w:r w:rsidR="007373FF">
        <w:rPr>
          <w:rFonts w:ascii="Arial" w:hAnsi="Arial" w:cs="Arial"/>
        </w:rPr>
        <w:t>8</w:t>
      </w:r>
      <w:r w:rsidR="006C4647">
        <w:rPr>
          <w:rFonts w:ascii="Arial" w:hAnsi="Arial" w:cs="Arial"/>
        </w:rPr>
        <w:t>00/year</w:t>
      </w:r>
      <w:r w:rsidR="004669DF">
        <w:rPr>
          <w:rFonts w:ascii="Arial" w:hAnsi="Arial" w:cs="Arial"/>
        </w:rPr>
        <w:t xml:space="preserve"> </w:t>
      </w:r>
      <w:r w:rsidR="00432752">
        <w:rPr>
          <w:rFonts w:ascii="Arial" w:hAnsi="Arial" w:cs="Arial"/>
        </w:rPr>
        <w:t>or 0.</w:t>
      </w:r>
      <w:r w:rsidR="008513C4">
        <w:rPr>
          <w:rFonts w:ascii="Arial" w:hAnsi="Arial" w:cs="Arial"/>
        </w:rPr>
        <w:t>4</w:t>
      </w:r>
      <w:r w:rsidR="00432752">
        <w:rPr>
          <w:rFonts w:ascii="Arial" w:hAnsi="Arial" w:cs="Arial"/>
        </w:rPr>
        <w:t xml:space="preserve">% </w:t>
      </w:r>
      <w:r w:rsidR="004669DF">
        <w:rPr>
          <w:rFonts w:ascii="Arial" w:hAnsi="Arial" w:cs="Arial"/>
        </w:rPr>
        <w:t>additional</w:t>
      </w:r>
      <w:r w:rsidR="00432752">
        <w:rPr>
          <w:rFonts w:ascii="Arial" w:hAnsi="Arial" w:cs="Arial"/>
        </w:rPr>
        <w:t xml:space="preserve"> electricity spend</w:t>
      </w:r>
      <w:r w:rsidR="006C4647">
        <w:rPr>
          <w:rFonts w:ascii="Arial" w:hAnsi="Arial" w:cs="Arial"/>
        </w:rPr>
        <w:t>) and green gas (</w:t>
      </w:r>
      <w:r w:rsidR="00A25515">
        <w:rPr>
          <w:rFonts w:ascii="Arial" w:hAnsi="Arial" w:cs="Arial"/>
        </w:rPr>
        <w:t xml:space="preserve">of ca0.4p/kWh, </w:t>
      </w:r>
      <w:r w:rsidR="00024BB1">
        <w:rPr>
          <w:rFonts w:ascii="Arial" w:hAnsi="Arial" w:cs="Arial"/>
        </w:rPr>
        <w:t xml:space="preserve">ca </w:t>
      </w:r>
      <w:r w:rsidR="004669DF">
        <w:rPr>
          <w:rFonts w:ascii="Arial" w:hAnsi="Arial" w:cs="Arial"/>
        </w:rPr>
        <w:t xml:space="preserve">equivalent of </w:t>
      </w:r>
      <w:r w:rsidR="006C4647">
        <w:rPr>
          <w:rFonts w:ascii="Arial" w:hAnsi="Arial" w:cs="Arial"/>
        </w:rPr>
        <w:t>£</w:t>
      </w:r>
      <w:r w:rsidR="00632918">
        <w:rPr>
          <w:rFonts w:ascii="Arial" w:hAnsi="Arial" w:cs="Arial"/>
        </w:rPr>
        <w:t>64</w:t>
      </w:r>
      <w:r w:rsidR="006C4647">
        <w:rPr>
          <w:rFonts w:ascii="Arial" w:hAnsi="Arial" w:cs="Arial"/>
        </w:rPr>
        <w:t>,000</w:t>
      </w:r>
      <w:r w:rsidR="00024BB1">
        <w:rPr>
          <w:rFonts w:ascii="Arial" w:hAnsi="Arial" w:cs="Arial"/>
        </w:rPr>
        <w:t>/year</w:t>
      </w:r>
      <w:r w:rsidR="004669DF">
        <w:rPr>
          <w:rFonts w:ascii="Arial" w:hAnsi="Arial" w:cs="Arial"/>
        </w:rPr>
        <w:t xml:space="preserve"> </w:t>
      </w:r>
      <w:r w:rsidR="00432752">
        <w:rPr>
          <w:rFonts w:ascii="Arial" w:hAnsi="Arial" w:cs="Arial"/>
        </w:rPr>
        <w:t xml:space="preserve">or 13.5% </w:t>
      </w:r>
      <w:r w:rsidR="004669DF">
        <w:rPr>
          <w:rFonts w:ascii="Arial" w:hAnsi="Arial" w:cs="Arial"/>
        </w:rPr>
        <w:t>additional</w:t>
      </w:r>
      <w:r w:rsidR="00432752">
        <w:rPr>
          <w:rFonts w:ascii="Arial" w:hAnsi="Arial" w:cs="Arial"/>
        </w:rPr>
        <w:t xml:space="preserve"> gas spend</w:t>
      </w:r>
      <w:r w:rsidR="006C4647">
        <w:rPr>
          <w:rFonts w:ascii="Arial" w:hAnsi="Arial" w:cs="Arial"/>
        </w:rPr>
        <w:t>)</w:t>
      </w:r>
      <w:r w:rsidR="00673065">
        <w:rPr>
          <w:rFonts w:ascii="Arial" w:hAnsi="Arial" w:cs="Arial"/>
        </w:rPr>
        <w:t>.</w:t>
      </w:r>
      <w:r w:rsidR="00D456C4">
        <w:rPr>
          <w:rFonts w:ascii="Arial" w:hAnsi="Arial" w:cs="Arial"/>
        </w:rPr>
        <w:t xml:space="preserve"> This represents an</w:t>
      </w:r>
      <w:r w:rsidR="00B17B62">
        <w:rPr>
          <w:rFonts w:ascii="Arial" w:hAnsi="Arial" w:cs="Arial"/>
        </w:rPr>
        <w:t xml:space="preserve"> </w:t>
      </w:r>
      <w:r w:rsidR="00D456C4">
        <w:rPr>
          <w:rFonts w:ascii="Arial" w:hAnsi="Arial" w:cs="Arial"/>
        </w:rPr>
        <w:t>o</w:t>
      </w:r>
      <w:r w:rsidR="00B17B62">
        <w:rPr>
          <w:rFonts w:ascii="Arial" w:hAnsi="Arial" w:cs="Arial"/>
        </w:rPr>
        <w:t>verall on-cost for electricity and gas of c.5% based on current consumption</w:t>
      </w:r>
      <w:r w:rsidR="009861B5">
        <w:rPr>
          <w:rFonts w:ascii="Arial" w:hAnsi="Arial" w:cs="Arial"/>
        </w:rPr>
        <w:t>.</w:t>
      </w:r>
      <w:r w:rsidR="00B91C14">
        <w:rPr>
          <w:rFonts w:ascii="Arial" w:hAnsi="Arial" w:cs="Arial"/>
        </w:rPr>
        <w:t xml:space="preserve"> </w:t>
      </w:r>
    </w:p>
    <w:p w14:paraId="5838E89D" w14:textId="77777777" w:rsidR="009D5015" w:rsidRDefault="009D5015" w:rsidP="009D5015">
      <w:pPr>
        <w:pStyle w:val="Default"/>
        <w:rPr>
          <w:rFonts w:ascii="Arial" w:hAnsi="Arial" w:cs="Arial"/>
        </w:rPr>
      </w:pPr>
    </w:p>
    <w:p w14:paraId="4B05F278" w14:textId="1A40BB9C" w:rsidR="009861B5" w:rsidRDefault="009D5015" w:rsidP="009D5015">
      <w:pPr>
        <w:pStyle w:val="Default"/>
        <w:rPr>
          <w:rFonts w:ascii="Arial" w:hAnsi="Arial" w:cs="Arial"/>
        </w:rPr>
      </w:pPr>
      <w:r>
        <w:rPr>
          <w:rFonts w:ascii="Arial" w:hAnsi="Arial" w:cs="Arial"/>
        </w:rPr>
        <w:lastRenderedPageBreak/>
        <w:t xml:space="preserve">43. </w:t>
      </w:r>
      <w:r w:rsidR="00B91C14" w:rsidRPr="00C80D20">
        <w:rPr>
          <w:rFonts w:ascii="Arial" w:hAnsi="Arial" w:cs="Arial"/>
        </w:rPr>
        <w:t xml:space="preserve">In light of the </w:t>
      </w:r>
      <w:r w:rsidR="009952CB" w:rsidRPr="00C80D20">
        <w:rPr>
          <w:rFonts w:ascii="Arial" w:hAnsi="Arial" w:cs="Arial"/>
        </w:rPr>
        <w:t>Council’</w:t>
      </w:r>
      <w:r w:rsidR="00B03C81" w:rsidRPr="00C80D20">
        <w:rPr>
          <w:rFonts w:ascii="Arial" w:hAnsi="Arial" w:cs="Arial"/>
        </w:rPr>
        <w:t>s Cli</w:t>
      </w:r>
      <w:r w:rsidR="009952CB" w:rsidRPr="00C80D20">
        <w:rPr>
          <w:rFonts w:ascii="Arial" w:hAnsi="Arial" w:cs="Arial"/>
        </w:rPr>
        <w:t>m</w:t>
      </w:r>
      <w:r w:rsidR="00B03C81" w:rsidRPr="00C80D20">
        <w:rPr>
          <w:rFonts w:ascii="Arial" w:hAnsi="Arial" w:cs="Arial"/>
        </w:rPr>
        <w:t>a</w:t>
      </w:r>
      <w:r w:rsidR="009952CB" w:rsidRPr="00C80D20">
        <w:rPr>
          <w:rFonts w:ascii="Arial" w:hAnsi="Arial" w:cs="Arial"/>
        </w:rPr>
        <w:t xml:space="preserve">te Emergency Declaration and </w:t>
      </w:r>
      <w:r w:rsidR="00B91C14" w:rsidRPr="00C80D20">
        <w:rPr>
          <w:rFonts w:ascii="Arial" w:hAnsi="Arial" w:cs="Arial"/>
        </w:rPr>
        <w:t xml:space="preserve">aspiration to </w:t>
      </w:r>
      <w:r w:rsidR="00B03C81" w:rsidRPr="00C80D20">
        <w:rPr>
          <w:rFonts w:ascii="Arial" w:hAnsi="Arial" w:cs="Arial"/>
        </w:rPr>
        <w:t>beco</w:t>
      </w:r>
      <w:r w:rsidR="00EB3B60" w:rsidRPr="00C80D20">
        <w:rPr>
          <w:rFonts w:ascii="Arial" w:hAnsi="Arial" w:cs="Arial"/>
        </w:rPr>
        <w:t>m</w:t>
      </w:r>
      <w:r w:rsidR="00B03C81" w:rsidRPr="00C80D20">
        <w:rPr>
          <w:rFonts w:ascii="Arial" w:hAnsi="Arial" w:cs="Arial"/>
        </w:rPr>
        <w:t>e net zero</w:t>
      </w:r>
      <w:r w:rsidR="00B91C14" w:rsidRPr="00C80D20">
        <w:rPr>
          <w:rFonts w:ascii="Arial" w:hAnsi="Arial" w:cs="Arial"/>
        </w:rPr>
        <w:t xml:space="preserve"> carbon,</w:t>
      </w:r>
      <w:r w:rsidR="00290382" w:rsidRPr="00C80D20">
        <w:rPr>
          <w:rFonts w:ascii="Arial" w:hAnsi="Arial" w:cs="Arial"/>
        </w:rPr>
        <w:t xml:space="preserve"> encouraged by Oxford’s Citizens’ Assembly on Climate Change,</w:t>
      </w:r>
      <w:r w:rsidR="00B91C14" w:rsidRPr="00C80D20">
        <w:rPr>
          <w:rFonts w:ascii="Arial" w:hAnsi="Arial" w:cs="Arial"/>
        </w:rPr>
        <w:t xml:space="preserve"> it is proposed </w:t>
      </w:r>
      <w:r w:rsidR="00BF043C">
        <w:rPr>
          <w:rFonts w:ascii="Arial" w:hAnsi="Arial" w:cs="Arial"/>
        </w:rPr>
        <w:t>that the Council</w:t>
      </w:r>
      <w:r w:rsidR="00290382" w:rsidRPr="00C80D20">
        <w:rPr>
          <w:rFonts w:ascii="Arial" w:hAnsi="Arial" w:cs="Arial"/>
        </w:rPr>
        <w:t xml:space="preserve"> will </w:t>
      </w:r>
      <w:r w:rsidR="00B91C14" w:rsidRPr="00C80D20">
        <w:rPr>
          <w:rFonts w:ascii="Arial" w:hAnsi="Arial" w:cs="Arial"/>
        </w:rPr>
        <w:t xml:space="preserve">seek to </w:t>
      </w:r>
      <w:r w:rsidR="00290382" w:rsidRPr="00C80D20">
        <w:rPr>
          <w:rFonts w:ascii="Arial" w:hAnsi="Arial" w:cs="Arial"/>
        </w:rPr>
        <w:t xml:space="preserve">obtain </w:t>
      </w:r>
      <w:r w:rsidR="00B91C14" w:rsidRPr="00C80D20">
        <w:rPr>
          <w:rFonts w:ascii="Arial" w:hAnsi="Arial" w:cs="Arial"/>
        </w:rPr>
        <w:t xml:space="preserve">100% </w:t>
      </w:r>
      <w:r w:rsidR="00BF043C">
        <w:rPr>
          <w:rFonts w:ascii="Arial" w:hAnsi="Arial" w:cs="Arial"/>
        </w:rPr>
        <w:t>of its</w:t>
      </w:r>
      <w:r w:rsidR="00290382" w:rsidRPr="00C80D20">
        <w:rPr>
          <w:rFonts w:ascii="Arial" w:hAnsi="Arial" w:cs="Arial"/>
        </w:rPr>
        <w:t xml:space="preserve"> electricity and gas supplies from clean, </w:t>
      </w:r>
      <w:r w:rsidR="008513C4" w:rsidRPr="00C80D20">
        <w:rPr>
          <w:rFonts w:ascii="Arial" w:hAnsi="Arial" w:cs="Arial"/>
        </w:rPr>
        <w:t xml:space="preserve">fully traceable </w:t>
      </w:r>
      <w:r w:rsidR="00B91C14" w:rsidRPr="00C80D20">
        <w:rPr>
          <w:rFonts w:ascii="Arial" w:hAnsi="Arial" w:cs="Arial"/>
        </w:rPr>
        <w:t xml:space="preserve">renewable energy </w:t>
      </w:r>
      <w:r w:rsidR="008513C4" w:rsidRPr="00C80D20">
        <w:rPr>
          <w:rFonts w:ascii="Arial" w:hAnsi="Arial" w:cs="Arial"/>
        </w:rPr>
        <w:t>in the energy supply contracts</w:t>
      </w:r>
      <w:r w:rsidR="00B91C14" w:rsidRPr="00C80D20">
        <w:rPr>
          <w:rFonts w:ascii="Arial" w:hAnsi="Arial" w:cs="Arial"/>
        </w:rPr>
        <w:t>.</w:t>
      </w:r>
      <w:r w:rsidR="008513C4" w:rsidRPr="00C80D20">
        <w:rPr>
          <w:rFonts w:ascii="Arial" w:hAnsi="Arial" w:cs="Arial"/>
        </w:rPr>
        <w:t xml:space="preserve"> </w:t>
      </w:r>
    </w:p>
    <w:p w14:paraId="33679C1F" w14:textId="77777777" w:rsidR="00362C7B" w:rsidRPr="00C80D20" w:rsidRDefault="00362C7B" w:rsidP="00362C7B">
      <w:pPr>
        <w:pStyle w:val="Default"/>
        <w:ind w:left="360"/>
        <w:rPr>
          <w:rFonts w:ascii="Arial" w:hAnsi="Arial" w:cs="Arial"/>
        </w:rPr>
      </w:pPr>
    </w:p>
    <w:p w14:paraId="3E33C86D" w14:textId="7CD227AF" w:rsidR="00A25515" w:rsidRDefault="009D5015" w:rsidP="009D5015">
      <w:pPr>
        <w:pStyle w:val="Default"/>
        <w:rPr>
          <w:rFonts w:ascii="Arial" w:hAnsi="Arial" w:cs="Arial"/>
        </w:rPr>
      </w:pPr>
      <w:r>
        <w:rPr>
          <w:rFonts w:ascii="Arial" w:hAnsi="Arial" w:cs="Arial"/>
        </w:rPr>
        <w:t>44</w:t>
      </w:r>
      <w:proofErr w:type="gramStart"/>
      <w:r>
        <w:rPr>
          <w:rFonts w:ascii="Arial" w:hAnsi="Arial" w:cs="Arial"/>
        </w:rPr>
        <w:t>.</w:t>
      </w:r>
      <w:r w:rsidR="00A25515">
        <w:rPr>
          <w:rFonts w:ascii="Arial" w:hAnsi="Arial" w:cs="Arial"/>
        </w:rPr>
        <w:t>Transparency</w:t>
      </w:r>
      <w:proofErr w:type="gramEnd"/>
      <w:r w:rsidR="00A25515">
        <w:rPr>
          <w:rFonts w:ascii="Arial" w:hAnsi="Arial" w:cs="Arial"/>
        </w:rPr>
        <w:t xml:space="preserve"> and accountability are critical. </w:t>
      </w:r>
      <w:r w:rsidR="009861B5" w:rsidRPr="003D6955">
        <w:rPr>
          <w:rFonts w:ascii="Arial" w:hAnsi="Arial" w:cs="Arial"/>
        </w:rPr>
        <w:t xml:space="preserve">Traceability of </w:t>
      </w:r>
      <w:r w:rsidR="00B91C14">
        <w:rPr>
          <w:rFonts w:ascii="Arial" w:hAnsi="Arial" w:cs="Arial"/>
        </w:rPr>
        <w:t xml:space="preserve">renewable </w:t>
      </w:r>
      <w:r w:rsidR="00201212">
        <w:rPr>
          <w:rFonts w:ascii="Arial" w:hAnsi="Arial" w:cs="Arial"/>
        </w:rPr>
        <w:t xml:space="preserve">energy </w:t>
      </w:r>
      <w:r w:rsidR="009861B5" w:rsidRPr="003D6955">
        <w:rPr>
          <w:rFonts w:ascii="Arial" w:hAnsi="Arial" w:cs="Arial"/>
        </w:rPr>
        <w:t xml:space="preserve">supply will be available through provision </w:t>
      </w:r>
      <w:r w:rsidR="006F34ED">
        <w:rPr>
          <w:rFonts w:ascii="Arial" w:hAnsi="Arial" w:cs="Arial"/>
        </w:rPr>
        <w:t xml:space="preserve">of </w:t>
      </w:r>
      <w:r w:rsidR="009861B5" w:rsidRPr="003D6955">
        <w:rPr>
          <w:rFonts w:ascii="Arial" w:hAnsi="Arial" w:cs="Arial"/>
        </w:rPr>
        <w:t>Renewable E</w:t>
      </w:r>
      <w:r w:rsidR="00201212">
        <w:rPr>
          <w:rFonts w:ascii="Arial" w:hAnsi="Arial" w:cs="Arial"/>
        </w:rPr>
        <w:t>lectricity</w:t>
      </w:r>
      <w:r w:rsidR="009861B5" w:rsidRPr="003D6955">
        <w:rPr>
          <w:rFonts w:ascii="Arial" w:hAnsi="Arial" w:cs="Arial"/>
        </w:rPr>
        <w:t xml:space="preserve"> Guarantees of Origin (REGO) certificates</w:t>
      </w:r>
      <w:r w:rsidR="00201212">
        <w:rPr>
          <w:rFonts w:ascii="Arial" w:hAnsi="Arial" w:cs="Arial"/>
        </w:rPr>
        <w:t xml:space="preserve"> for electricity and Renewable Gas </w:t>
      </w:r>
      <w:r w:rsidR="00201212" w:rsidRPr="003D6955">
        <w:rPr>
          <w:rFonts w:ascii="Arial" w:hAnsi="Arial" w:cs="Arial"/>
        </w:rPr>
        <w:t>Guarantees of Origin</w:t>
      </w:r>
      <w:r w:rsidR="00201212">
        <w:rPr>
          <w:rFonts w:ascii="Arial" w:hAnsi="Arial" w:cs="Arial"/>
        </w:rPr>
        <w:t xml:space="preserve"> (RGGO) certificates</w:t>
      </w:r>
      <w:r w:rsidR="009861B5" w:rsidRPr="003D6955">
        <w:rPr>
          <w:rFonts w:ascii="Arial" w:hAnsi="Arial" w:cs="Arial"/>
        </w:rPr>
        <w:t>. This will be beneficial for providing greater transparency for O</w:t>
      </w:r>
      <w:r w:rsidR="003D546E">
        <w:rPr>
          <w:rFonts w:ascii="Arial" w:hAnsi="Arial" w:cs="Arial"/>
        </w:rPr>
        <w:t>xford City Council’</w:t>
      </w:r>
      <w:r w:rsidR="009861B5" w:rsidRPr="003D6955">
        <w:rPr>
          <w:rFonts w:ascii="Arial" w:hAnsi="Arial" w:cs="Arial"/>
        </w:rPr>
        <w:t xml:space="preserve">s Carbon and Sustainability reporting as well as </w:t>
      </w:r>
      <w:r w:rsidR="00A25515">
        <w:rPr>
          <w:rFonts w:ascii="Arial" w:hAnsi="Arial" w:cs="Arial"/>
        </w:rPr>
        <w:t>furthering</w:t>
      </w:r>
      <w:r w:rsidR="00A25515" w:rsidRPr="003D6955">
        <w:rPr>
          <w:rFonts w:ascii="Arial" w:hAnsi="Arial" w:cs="Arial"/>
        </w:rPr>
        <w:t xml:space="preserve"> </w:t>
      </w:r>
      <w:r w:rsidR="009861B5" w:rsidRPr="003D6955">
        <w:rPr>
          <w:rFonts w:ascii="Arial" w:hAnsi="Arial" w:cs="Arial"/>
        </w:rPr>
        <w:t xml:space="preserve">the Council’s aspirations </w:t>
      </w:r>
      <w:r w:rsidR="00B91C14">
        <w:rPr>
          <w:rFonts w:ascii="Arial" w:hAnsi="Arial" w:cs="Arial"/>
        </w:rPr>
        <w:t>to</w:t>
      </w:r>
      <w:r w:rsidR="00B03C81">
        <w:rPr>
          <w:rFonts w:ascii="Arial" w:hAnsi="Arial" w:cs="Arial"/>
        </w:rPr>
        <w:t xml:space="preserve"> become net zero</w:t>
      </w:r>
      <w:r w:rsidR="00B91C14">
        <w:rPr>
          <w:rFonts w:ascii="Arial" w:hAnsi="Arial" w:cs="Arial"/>
        </w:rPr>
        <w:t xml:space="preserve"> carbon</w:t>
      </w:r>
      <w:r w:rsidR="003D546E">
        <w:rPr>
          <w:rFonts w:ascii="Arial" w:hAnsi="Arial" w:cs="Arial"/>
        </w:rPr>
        <w:t xml:space="preserve"> </w:t>
      </w:r>
      <w:r w:rsidR="00A25515">
        <w:rPr>
          <w:rFonts w:ascii="Arial" w:hAnsi="Arial" w:cs="Arial"/>
        </w:rPr>
        <w:t>as quickly as possible.</w:t>
      </w:r>
      <w:r w:rsidR="00B91C14">
        <w:rPr>
          <w:rFonts w:ascii="Arial" w:hAnsi="Arial" w:cs="Arial"/>
        </w:rPr>
        <w:t xml:space="preserve"> </w:t>
      </w:r>
      <w:r w:rsidR="00B03C81">
        <w:rPr>
          <w:rFonts w:ascii="Arial" w:hAnsi="Arial" w:cs="Arial"/>
        </w:rPr>
        <w:t xml:space="preserve">Buying </w:t>
      </w:r>
      <w:r w:rsidR="00B17B62">
        <w:rPr>
          <w:rFonts w:ascii="Arial" w:hAnsi="Arial" w:cs="Arial"/>
        </w:rPr>
        <w:t xml:space="preserve">certified </w:t>
      </w:r>
      <w:r w:rsidR="00B03C81">
        <w:rPr>
          <w:rFonts w:ascii="Arial" w:hAnsi="Arial" w:cs="Arial"/>
        </w:rPr>
        <w:t>renewable gas and electricity can make a c.70% contribution towards Oxford</w:t>
      </w:r>
      <w:r w:rsidR="00A25515">
        <w:rPr>
          <w:rFonts w:ascii="Arial" w:hAnsi="Arial" w:cs="Arial"/>
        </w:rPr>
        <w:t xml:space="preserve"> City Council</w:t>
      </w:r>
      <w:r w:rsidR="00B03C81">
        <w:rPr>
          <w:rFonts w:ascii="Arial" w:hAnsi="Arial" w:cs="Arial"/>
        </w:rPr>
        <w:t xml:space="preserve"> becoming net zero </w:t>
      </w:r>
      <w:proofErr w:type="gramStart"/>
      <w:r w:rsidR="00B03C81">
        <w:rPr>
          <w:rFonts w:ascii="Arial" w:hAnsi="Arial" w:cs="Arial"/>
        </w:rPr>
        <w:t>carbon.</w:t>
      </w:r>
      <w:proofErr w:type="gramEnd"/>
      <w:r w:rsidR="00B03C81">
        <w:rPr>
          <w:rFonts w:ascii="Arial" w:hAnsi="Arial" w:cs="Arial"/>
        </w:rPr>
        <w:t xml:space="preserve"> </w:t>
      </w:r>
    </w:p>
    <w:p w14:paraId="28DD179F" w14:textId="77777777" w:rsidR="00362C7B" w:rsidRPr="00362C7B" w:rsidRDefault="00362C7B" w:rsidP="00362C7B">
      <w:pPr>
        <w:pStyle w:val="ListParagraph"/>
        <w:numPr>
          <w:ilvl w:val="0"/>
          <w:numId w:val="0"/>
        </w:numPr>
        <w:ind w:left="360"/>
        <w:rPr>
          <w:rFonts w:cs="Arial"/>
        </w:rPr>
      </w:pPr>
    </w:p>
    <w:p w14:paraId="639CC77A" w14:textId="08C65969" w:rsidR="00B17B62" w:rsidRDefault="009D5015" w:rsidP="009D5015">
      <w:pPr>
        <w:pStyle w:val="Default"/>
        <w:rPr>
          <w:rFonts w:ascii="Arial" w:hAnsi="Arial" w:cs="Arial"/>
        </w:rPr>
      </w:pPr>
      <w:r>
        <w:rPr>
          <w:rFonts w:ascii="Arial" w:hAnsi="Arial" w:cs="Arial"/>
        </w:rPr>
        <w:t>45</w:t>
      </w:r>
      <w:proofErr w:type="gramStart"/>
      <w:r>
        <w:rPr>
          <w:rFonts w:ascii="Arial" w:hAnsi="Arial" w:cs="Arial"/>
        </w:rPr>
        <w:t>.</w:t>
      </w:r>
      <w:r w:rsidR="00A25515">
        <w:rPr>
          <w:rFonts w:ascii="Arial" w:hAnsi="Arial" w:cs="Arial"/>
        </w:rPr>
        <w:t>T</w:t>
      </w:r>
      <w:r w:rsidR="00B03C81">
        <w:rPr>
          <w:rFonts w:ascii="Arial" w:hAnsi="Arial" w:cs="Arial"/>
        </w:rPr>
        <w:t>his</w:t>
      </w:r>
      <w:proofErr w:type="gramEnd"/>
      <w:r w:rsidR="00B03C81">
        <w:rPr>
          <w:rFonts w:ascii="Arial" w:hAnsi="Arial" w:cs="Arial"/>
        </w:rPr>
        <w:t xml:space="preserve"> </w:t>
      </w:r>
      <w:r w:rsidR="00B91C14">
        <w:rPr>
          <w:rFonts w:ascii="Arial" w:hAnsi="Arial" w:cs="Arial"/>
        </w:rPr>
        <w:t xml:space="preserve">does not mean that </w:t>
      </w:r>
      <w:r w:rsidR="00B03C81">
        <w:rPr>
          <w:rFonts w:ascii="Arial" w:hAnsi="Arial" w:cs="Arial"/>
        </w:rPr>
        <w:t xml:space="preserve">ongoing </w:t>
      </w:r>
      <w:r w:rsidR="00B91C14">
        <w:rPr>
          <w:rFonts w:ascii="Arial" w:hAnsi="Arial" w:cs="Arial"/>
        </w:rPr>
        <w:t xml:space="preserve">efforts to continue to reduce electricity and gas consumption </w:t>
      </w:r>
      <w:r w:rsidR="00A25515">
        <w:rPr>
          <w:rFonts w:ascii="Arial" w:hAnsi="Arial" w:cs="Arial"/>
        </w:rPr>
        <w:t xml:space="preserve">will </w:t>
      </w:r>
      <w:r w:rsidR="00B03C81">
        <w:rPr>
          <w:rFonts w:ascii="Arial" w:hAnsi="Arial" w:cs="Arial"/>
        </w:rPr>
        <w:t>be scaled back</w:t>
      </w:r>
      <w:r w:rsidR="00B17B62">
        <w:rPr>
          <w:rFonts w:ascii="Arial" w:hAnsi="Arial" w:cs="Arial"/>
        </w:rPr>
        <w:t xml:space="preserve">. The financial case for demand reduction </w:t>
      </w:r>
      <w:r w:rsidR="00A25515">
        <w:rPr>
          <w:rFonts w:ascii="Arial" w:hAnsi="Arial" w:cs="Arial"/>
        </w:rPr>
        <w:t xml:space="preserve">is in fact </w:t>
      </w:r>
      <w:r w:rsidR="00B17B62">
        <w:rPr>
          <w:rFonts w:ascii="Arial" w:hAnsi="Arial" w:cs="Arial"/>
        </w:rPr>
        <w:t>strengthened</w:t>
      </w:r>
      <w:r w:rsidR="004B16F7">
        <w:rPr>
          <w:rFonts w:ascii="Arial" w:hAnsi="Arial" w:cs="Arial"/>
        </w:rPr>
        <w:t xml:space="preserve"> with the purchase of renewable energy supplies</w:t>
      </w:r>
      <w:r w:rsidR="00B17B62">
        <w:rPr>
          <w:rFonts w:ascii="Arial" w:hAnsi="Arial" w:cs="Arial"/>
        </w:rPr>
        <w:t>.</w:t>
      </w:r>
      <w:r w:rsidR="00563CAA">
        <w:rPr>
          <w:rFonts w:ascii="Arial" w:hAnsi="Arial" w:cs="Arial"/>
        </w:rPr>
        <w:t xml:space="preserve"> It is </w:t>
      </w:r>
      <w:r w:rsidR="00A25515">
        <w:rPr>
          <w:rFonts w:ascii="Arial" w:hAnsi="Arial" w:cs="Arial"/>
        </w:rPr>
        <w:t xml:space="preserve">also </w:t>
      </w:r>
      <w:r w:rsidR="00563CAA">
        <w:rPr>
          <w:rFonts w:ascii="Arial" w:hAnsi="Arial" w:cs="Arial"/>
        </w:rPr>
        <w:t xml:space="preserve">proposed to </w:t>
      </w:r>
      <w:r w:rsidR="002B68FB">
        <w:rPr>
          <w:rFonts w:ascii="Arial" w:hAnsi="Arial" w:cs="Arial"/>
        </w:rPr>
        <w:t xml:space="preserve">explore </w:t>
      </w:r>
      <w:r w:rsidR="00563CAA">
        <w:rPr>
          <w:rFonts w:ascii="Arial" w:hAnsi="Arial" w:cs="Arial"/>
        </w:rPr>
        <w:t xml:space="preserve">opportunities </w:t>
      </w:r>
      <w:r w:rsidR="002B68FB">
        <w:rPr>
          <w:rFonts w:ascii="Arial" w:hAnsi="Arial" w:cs="Arial"/>
        </w:rPr>
        <w:t xml:space="preserve">to purchase </w:t>
      </w:r>
      <w:r w:rsidR="0033492D">
        <w:rPr>
          <w:rFonts w:ascii="Arial" w:hAnsi="Arial" w:cs="Arial"/>
        </w:rPr>
        <w:t>‘</w:t>
      </w:r>
      <w:r w:rsidR="002B68FB">
        <w:rPr>
          <w:rFonts w:ascii="Arial" w:hAnsi="Arial" w:cs="Arial"/>
        </w:rPr>
        <w:t>green</w:t>
      </w:r>
      <w:r w:rsidR="0033492D">
        <w:rPr>
          <w:rFonts w:ascii="Arial" w:hAnsi="Arial" w:cs="Arial"/>
        </w:rPr>
        <w:t>er’</w:t>
      </w:r>
      <w:r w:rsidR="002B68FB">
        <w:rPr>
          <w:rFonts w:ascii="Arial" w:hAnsi="Arial" w:cs="Arial"/>
        </w:rPr>
        <w:t xml:space="preserve"> electricity through a</w:t>
      </w:r>
      <w:r w:rsidR="00563CAA">
        <w:rPr>
          <w:rFonts w:ascii="Arial" w:hAnsi="Arial" w:cs="Arial"/>
        </w:rPr>
        <w:t xml:space="preserve"> corporate PPA </w:t>
      </w:r>
      <w:r w:rsidR="002B68FB">
        <w:rPr>
          <w:rFonts w:ascii="Arial" w:hAnsi="Arial" w:cs="Arial"/>
        </w:rPr>
        <w:t xml:space="preserve">directly with a renewable energy generator on a longer term arrangement. </w:t>
      </w:r>
    </w:p>
    <w:p w14:paraId="6F761C9B" w14:textId="77777777" w:rsidR="00362C7B" w:rsidRPr="00362C7B" w:rsidRDefault="00362C7B" w:rsidP="00362C7B">
      <w:pPr>
        <w:pStyle w:val="ListParagraph"/>
        <w:numPr>
          <w:ilvl w:val="0"/>
          <w:numId w:val="0"/>
        </w:numPr>
        <w:ind w:left="360"/>
        <w:rPr>
          <w:rFonts w:cs="Arial"/>
        </w:rPr>
      </w:pPr>
    </w:p>
    <w:p w14:paraId="0301491B" w14:textId="66BA4110" w:rsidR="009861B5" w:rsidRPr="00C80D20" w:rsidRDefault="009D5015" w:rsidP="009D5015">
      <w:pPr>
        <w:pStyle w:val="Default"/>
        <w:rPr>
          <w:rFonts w:ascii="Arial" w:hAnsi="Arial" w:cs="Arial"/>
          <w:b/>
        </w:rPr>
      </w:pPr>
      <w:r>
        <w:rPr>
          <w:rFonts w:ascii="Arial" w:hAnsi="Arial" w:cs="Arial"/>
        </w:rPr>
        <w:t>46</w:t>
      </w:r>
      <w:proofErr w:type="gramStart"/>
      <w:r>
        <w:rPr>
          <w:rFonts w:ascii="Arial" w:hAnsi="Arial" w:cs="Arial"/>
        </w:rPr>
        <w:t>.</w:t>
      </w:r>
      <w:r w:rsidR="004B16F7" w:rsidRPr="00C80D20">
        <w:rPr>
          <w:rFonts w:ascii="Arial" w:hAnsi="Arial" w:cs="Arial"/>
        </w:rPr>
        <w:t>For</w:t>
      </w:r>
      <w:proofErr w:type="gramEnd"/>
      <w:r w:rsidR="004B16F7" w:rsidRPr="00C80D20">
        <w:rPr>
          <w:rFonts w:ascii="Arial" w:hAnsi="Arial" w:cs="Arial"/>
        </w:rPr>
        <w:t xml:space="preserve"> the </w:t>
      </w:r>
      <w:r w:rsidR="004C24DE" w:rsidRPr="00C80D20">
        <w:rPr>
          <w:rFonts w:ascii="Arial" w:hAnsi="Arial" w:cs="Arial"/>
        </w:rPr>
        <w:t xml:space="preserve">remaining </w:t>
      </w:r>
      <w:r w:rsidR="00673065" w:rsidRPr="00C80D20">
        <w:rPr>
          <w:rFonts w:ascii="Arial" w:hAnsi="Arial" w:cs="Arial"/>
        </w:rPr>
        <w:t>s</w:t>
      </w:r>
      <w:r w:rsidR="004B16F7" w:rsidRPr="00C80D20">
        <w:rPr>
          <w:rFonts w:ascii="Arial" w:hAnsi="Arial" w:cs="Arial"/>
        </w:rPr>
        <w:t xml:space="preserve">upplies on the </w:t>
      </w:r>
      <w:r w:rsidR="004B16F7" w:rsidRPr="00C80D20">
        <w:rPr>
          <w:rFonts w:ascii="Arial" w:hAnsi="Arial" w:cs="Arial"/>
          <w:i/>
        </w:rPr>
        <w:t>fixed term fixed price</w:t>
      </w:r>
      <w:r w:rsidR="004B16F7" w:rsidRPr="00C80D20">
        <w:rPr>
          <w:rFonts w:ascii="Arial" w:hAnsi="Arial" w:cs="Arial"/>
        </w:rPr>
        <w:t xml:space="preserve"> contracts certified r</w:t>
      </w:r>
      <w:r w:rsidR="00B17B62" w:rsidRPr="00C80D20">
        <w:rPr>
          <w:rFonts w:ascii="Arial" w:hAnsi="Arial" w:cs="Arial"/>
        </w:rPr>
        <w:t>enewable</w:t>
      </w:r>
      <w:r w:rsidR="00235769" w:rsidRPr="00C80D20">
        <w:rPr>
          <w:rFonts w:ascii="Arial" w:hAnsi="Arial" w:cs="Arial"/>
        </w:rPr>
        <w:t xml:space="preserve"> energy</w:t>
      </w:r>
      <w:r w:rsidR="00112F2B" w:rsidRPr="00C80D20">
        <w:rPr>
          <w:rFonts w:ascii="Arial" w:hAnsi="Arial" w:cs="Arial"/>
        </w:rPr>
        <w:t xml:space="preserve"> </w:t>
      </w:r>
      <w:r w:rsidR="009861B5" w:rsidRPr="00C80D20">
        <w:rPr>
          <w:rFonts w:ascii="Arial" w:hAnsi="Arial" w:cs="Arial"/>
        </w:rPr>
        <w:t xml:space="preserve">sources of </w:t>
      </w:r>
      <w:r w:rsidR="00B17B62" w:rsidRPr="00C80D20">
        <w:rPr>
          <w:rFonts w:ascii="Arial" w:hAnsi="Arial" w:cs="Arial"/>
        </w:rPr>
        <w:t xml:space="preserve">gas and electricity </w:t>
      </w:r>
      <w:r w:rsidR="009861B5" w:rsidRPr="00C80D20">
        <w:rPr>
          <w:rFonts w:ascii="Arial" w:hAnsi="Arial" w:cs="Arial"/>
        </w:rPr>
        <w:t xml:space="preserve">will be </w:t>
      </w:r>
      <w:r w:rsidR="00824B46" w:rsidRPr="00C80D20">
        <w:rPr>
          <w:rFonts w:ascii="Arial" w:hAnsi="Arial" w:cs="Arial"/>
        </w:rPr>
        <w:t xml:space="preserve">secured </w:t>
      </w:r>
      <w:r w:rsidR="009861B5" w:rsidRPr="00C80D20">
        <w:rPr>
          <w:rFonts w:ascii="Arial" w:hAnsi="Arial" w:cs="Arial"/>
        </w:rPr>
        <w:t xml:space="preserve">where </w:t>
      </w:r>
      <w:r w:rsidR="004C24DE" w:rsidRPr="00C80D20">
        <w:rPr>
          <w:rFonts w:ascii="Arial" w:hAnsi="Arial" w:cs="Arial"/>
        </w:rPr>
        <w:t>possible.</w:t>
      </w:r>
    </w:p>
    <w:p w14:paraId="635E3599" w14:textId="77777777" w:rsidR="00B05162" w:rsidRDefault="00B05162" w:rsidP="00B05162">
      <w:pPr>
        <w:pStyle w:val="ListParagraph"/>
        <w:numPr>
          <w:ilvl w:val="0"/>
          <w:numId w:val="0"/>
        </w:numPr>
        <w:ind w:left="360"/>
        <w:rPr>
          <w:rFonts w:cs="Arial"/>
          <w:b/>
        </w:rPr>
      </w:pPr>
    </w:p>
    <w:p w14:paraId="303B0F8B" w14:textId="77777777" w:rsidR="004669DF" w:rsidRDefault="00024BB1" w:rsidP="009861B5">
      <w:pPr>
        <w:pStyle w:val="Default"/>
        <w:rPr>
          <w:rFonts w:ascii="Arial" w:hAnsi="Arial" w:cs="Arial"/>
          <w:b/>
        </w:rPr>
      </w:pPr>
      <w:r>
        <w:rPr>
          <w:rFonts w:ascii="Arial" w:hAnsi="Arial" w:cs="Arial"/>
          <w:b/>
        </w:rPr>
        <w:t xml:space="preserve">Level of </w:t>
      </w:r>
      <w:r w:rsidR="009861B5" w:rsidRPr="003D6955">
        <w:rPr>
          <w:rFonts w:ascii="Arial" w:hAnsi="Arial" w:cs="Arial"/>
          <w:b/>
        </w:rPr>
        <w:t>Risk</w:t>
      </w:r>
    </w:p>
    <w:p w14:paraId="64D0139F" w14:textId="77777777" w:rsidR="009861B5" w:rsidRPr="003D6955" w:rsidRDefault="009861B5" w:rsidP="009861B5">
      <w:pPr>
        <w:pStyle w:val="Default"/>
        <w:rPr>
          <w:rFonts w:ascii="Arial" w:hAnsi="Arial" w:cs="Arial"/>
          <w:b/>
        </w:rPr>
      </w:pPr>
      <w:r w:rsidRPr="003D6955">
        <w:rPr>
          <w:rFonts w:ascii="Arial" w:hAnsi="Arial" w:cs="Arial"/>
          <w:b/>
        </w:rPr>
        <w:t xml:space="preserve"> </w:t>
      </w:r>
    </w:p>
    <w:p w14:paraId="1D8DA995" w14:textId="5E23CEBE" w:rsidR="009861B5" w:rsidRDefault="009D5015" w:rsidP="009D5015">
      <w:pPr>
        <w:pStyle w:val="Default"/>
        <w:rPr>
          <w:rFonts w:ascii="Arial" w:hAnsi="Arial" w:cs="Arial"/>
        </w:rPr>
      </w:pPr>
      <w:r>
        <w:rPr>
          <w:rFonts w:ascii="Arial" w:hAnsi="Arial" w:cs="Arial"/>
        </w:rPr>
        <w:t>47</w:t>
      </w:r>
      <w:proofErr w:type="gramStart"/>
      <w:r>
        <w:rPr>
          <w:rFonts w:ascii="Arial" w:hAnsi="Arial" w:cs="Arial"/>
        </w:rPr>
        <w:t>.</w:t>
      </w:r>
      <w:r w:rsidR="009861B5" w:rsidRPr="003D6955">
        <w:rPr>
          <w:rFonts w:ascii="Arial" w:hAnsi="Arial" w:cs="Arial"/>
        </w:rPr>
        <w:t>A</w:t>
      </w:r>
      <w:proofErr w:type="gramEnd"/>
      <w:r w:rsidR="009861B5" w:rsidRPr="003D6955">
        <w:rPr>
          <w:rFonts w:ascii="Arial" w:hAnsi="Arial" w:cs="Arial"/>
        </w:rPr>
        <w:t xml:space="preserve"> risk register is</w:t>
      </w:r>
      <w:r w:rsidR="009861B5" w:rsidRPr="003D6955">
        <w:rPr>
          <w:rFonts w:ascii="Arial" w:hAnsi="Arial" w:cs="Arial"/>
          <w:b/>
        </w:rPr>
        <w:t xml:space="preserve"> </w:t>
      </w:r>
      <w:r w:rsidR="009861B5" w:rsidRPr="003D6955">
        <w:rPr>
          <w:rFonts w:ascii="Arial" w:hAnsi="Arial" w:cs="Arial"/>
        </w:rPr>
        <w:t>appended with this report</w:t>
      </w:r>
      <w:r w:rsidR="00824B46">
        <w:rPr>
          <w:rFonts w:ascii="Arial" w:hAnsi="Arial" w:cs="Arial"/>
        </w:rPr>
        <w:t xml:space="preserve"> (Appendix 2)</w:t>
      </w:r>
      <w:r w:rsidR="009861B5" w:rsidRPr="003D6955">
        <w:rPr>
          <w:rFonts w:ascii="Arial" w:hAnsi="Arial" w:cs="Arial"/>
        </w:rPr>
        <w:t>. Using a PBO to procure the Energy contracts is a recommended best practice approach in the volatile and complex energy sector. Purchasing energy on flexible contracts through a PBO is also an aggregated, flexible and risk-managed way of securing energy contracts as recommended by the Pan-Government Energy Project.</w:t>
      </w:r>
    </w:p>
    <w:p w14:paraId="255207E3" w14:textId="77777777" w:rsidR="00362C7B" w:rsidRPr="003D6955" w:rsidRDefault="00362C7B" w:rsidP="00362C7B">
      <w:pPr>
        <w:pStyle w:val="Default"/>
        <w:ind w:left="360"/>
        <w:rPr>
          <w:rFonts w:ascii="Arial" w:hAnsi="Arial" w:cs="Arial"/>
        </w:rPr>
      </w:pPr>
    </w:p>
    <w:p w14:paraId="0E9DBD2D" w14:textId="26D754BA" w:rsidR="009861B5" w:rsidRPr="003D6955" w:rsidRDefault="009D5015" w:rsidP="009D5015">
      <w:pPr>
        <w:pStyle w:val="Default"/>
        <w:rPr>
          <w:rFonts w:ascii="Arial" w:hAnsi="Arial" w:cs="Arial"/>
          <w:i/>
        </w:rPr>
      </w:pPr>
      <w:r>
        <w:rPr>
          <w:rFonts w:ascii="Arial" w:hAnsi="Arial" w:cs="Arial"/>
        </w:rPr>
        <w:t>48.</w:t>
      </w:r>
      <w:r w:rsidR="009861B5" w:rsidRPr="003D6955">
        <w:rPr>
          <w:rFonts w:ascii="Arial" w:hAnsi="Arial" w:cs="Arial"/>
        </w:rPr>
        <w:t>The highest risk to the council is to not have energy contracts in place and slip in to deemed/out of contract rates for its energy supplies which are significantly more expensive than contracted rates (of the order of 50% or higher compared to arranged contract rates). The purpose of securing contracts through a PBO is to avoid this happening and also to give the best chance of securing most competitive energy (and water) contract prices.</w:t>
      </w:r>
    </w:p>
    <w:p w14:paraId="546F2B62" w14:textId="77777777" w:rsidR="009861B5" w:rsidRDefault="009861B5" w:rsidP="009861B5">
      <w:pPr>
        <w:pStyle w:val="Default"/>
        <w:ind w:left="720"/>
        <w:rPr>
          <w:rFonts w:ascii="Arial" w:hAnsi="Arial" w:cs="Arial"/>
          <w:i/>
        </w:rPr>
      </w:pPr>
    </w:p>
    <w:p w14:paraId="3BF8C639" w14:textId="77777777" w:rsidR="00BF043C" w:rsidRPr="003D6955" w:rsidRDefault="00BF043C" w:rsidP="009861B5">
      <w:pPr>
        <w:pStyle w:val="Default"/>
        <w:ind w:left="720"/>
        <w:rPr>
          <w:rFonts w:ascii="Arial" w:hAnsi="Arial" w:cs="Arial"/>
          <w:i/>
        </w:rPr>
      </w:pPr>
    </w:p>
    <w:p w14:paraId="47E025BE" w14:textId="77777777" w:rsidR="009861B5" w:rsidRDefault="009861B5" w:rsidP="009861B5">
      <w:pPr>
        <w:pStyle w:val="Default"/>
        <w:rPr>
          <w:rFonts w:ascii="Arial" w:hAnsi="Arial" w:cs="Arial"/>
          <w:b/>
        </w:rPr>
      </w:pPr>
      <w:r w:rsidRPr="003D6955">
        <w:rPr>
          <w:rFonts w:ascii="Arial" w:hAnsi="Arial" w:cs="Arial"/>
          <w:b/>
        </w:rPr>
        <w:t>Equalities Impact</w:t>
      </w:r>
    </w:p>
    <w:p w14:paraId="7D14CD60" w14:textId="77777777" w:rsidR="004669DF" w:rsidRDefault="004669DF" w:rsidP="009861B5">
      <w:pPr>
        <w:pStyle w:val="Default"/>
        <w:rPr>
          <w:rFonts w:ascii="Arial" w:hAnsi="Arial" w:cs="Arial"/>
          <w:i/>
        </w:rPr>
      </w:pPr>
    </w:p>
    <w:p w14:paraId="57055838" w14:textId="77777777" w:rsidR="00362C7B" w:rsidRDefault="00362C7B" w:rsidP="009861B5">
      <w:pPr>
        <w:pStyle w:val="Default"/>
        <w:rPr>
          <w:rFonts w:ascii="Arial" w:hAnsi="Arial" w:cs="Arial"/>
          <w:i/>
        </w:rPr>
      </w:pPr>
    </w:p>
    <w:p w14:paraId="03164480" w14:textId="77777777" w:rsidR="00362C7B" w:rsidRPr="003D6955" w:rsidRDefault="00362C7B" w:rsidP="009861B5">
      <w:pPr>
        <w:pStyle w:val="Default"/>
        <w:rPr>
          <w:rFonts w:ascii="Arial" w:hAnsi="Arial" w:cs="Arial"/>
          <w:i/>
        </w:rPr>
      </w:pPr>
    </w:p>
    <w:p w14:paraId="2217D689" w14:textId="67A5605B" w:rsidR="00E87F7A" w:rsidRDefault="009D5015" w:rsidP="009D5015">
      <w:r>
        <w:t>49</w:t>
      </w:r>
      <w:proofErr w:type="gramStart"/>
      <w:r>
        <w:t>.</w:t>
      </w:r>
      <w:r w:rsidR="009861B5" w:rsidRPr="003D6955">
        <w:t>There</w:t>
      </w:r>
      <w:proofErr w:type="gramEnd"/>
      <w:r w:rsidR="009861B5" w:rsidRPr="003D6955">
        <w:t xml:space="preserve"> are no equalities impact issues with this decision.</w:t>
      </w:r>
      <w:r w:rsidR="008D3224">
        <w:t xml:space="preserve"> </w:t>
      </w:r>
    </w:p>
    <w:p w14:paraId="078E0696" w14:textId="77777777" w:rsidR="004C24DE" w:rsidRPr="001356F1" w:rsidRDefault="004C24DE" w:rsidP="004C24DE">
      <w:pPr>
        <w:pStyle w:val="ListParagraph"/>
        <w:numPr>
          <w:ilvl w:val="0"/>
          <w:numId w:val="0"/>
        </w:numPr>
        <w:ind w:left="360"/>
        <w:rPr>
          <w:rStyle w:val="ListParagraphChar"/>
        </w:rPr>
      </w:pPr>
    </w:p>
    <w:p w14:paraId="734762E0" w14:textId="77777777" w:rsidR="008513C4" w:rsidRDefault="008513C4" w:rsidP="004A6D2F"/>
    <w:p w14:paraId="4E6E7878" w14:textId="77777777" w:rsidR="009D5015" w:rsidRPr="001356F1" w:rsidRDefault="009D5015"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C0BC77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4A91600"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5BDC3C2" w14:textId="77777777" w:rsidR="00E87F7A" w:rsidRPr="001356F1" w:rsidRDefault="00CA37A6" w:rsidP="00A46E98">
            <w:r>
              <w:t>Paul Spencer</w:t>
            </w:r>
            <w:r w:rsidR="00EE66B3">
              <w:t>/Paul Robinson</w:t>
            </w:r>
          </w:p>
        </w:tc>
      </w:tr>
      <w:tr w:rsidR="00DF093E" w:rsidRPr="001356F1" w14:paraId="00278F5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AEEE4F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9D37475" w14:textId="77777777" w:rsidR="00E87F7A" w:rsidRPr="001356F1" w:rsidRDefault="00CA37A6" w:rsidP="00A46E98">
            <w:r>
              <w:t>Energy</w:t>
            </w:r>
            <w:r w:rsidR="00824B46">
              <w:t xml:space="preserve"> </w:t>
            </w:r>
            <w:r>
              <w:t>&amp;</w:t>
            </w:r>
            <w:r w:rsidR="00824B46">
              <w:t xml:space="preserve"> </w:t>
            </w:r>
            <w:r>
              <w:t>Carbon Manager</w:t>
            </w:r>
            <w:r w:rsidR="00EE66B3">
              <w:t>/Team Manager, Energy&amp; Natural Resources team</w:t>
            </w:r>
          </w:p>
        </w:tc>
      </w:tr>
      <w:tr w:rsidR="00DF093E" w:rsidRPr="001356F1" w14:paraId="1E354208" w14:textId="77777777" w:rsidTr="00A46E98">
        <w:trPr>
          <w:cantSplit/>
          <w:trHeight w:val="396"/>
        </w:trPr>
        <w:tc>
          <w:tcPr>
            <w:tcW w:w="3969" w:type="dxa"/>
            <w:tcBorders>
              <w:top w:val="nil"/>
              <w:left w:val="single" w:sz="8" w:space="0" w:color="000000"/>
              <w:bottom w:val="nil"/>
              <w:right w:val="nil"/>
            </w:tcBorders>
            <w:shd w:val="clear" w:color="auto" w:fill="auto"/>
          </w:tcPr>
          <w:p w14:paraId="08B2A02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7B5A2D9" w14:textId="77777777" w:rsidR="00E87F7A" w:rsidRPr="001356F1" w:rsidRDefault="00CA37A6" w:rsidP="00A46E98">
            <w:r>
              <w:t>Environmental Sustainability</w:t>
            </w:r>
          </w:p>
        </w:tc>
      </w:tr>
      <w:tr w:rsidR="00DF093E" w:rsidRPr="001356F1" w14:paraId="69C0EEB8" w14:textId="77777777" w:rsidTr="00A46E98">
        <w:trPr>
          <w:cantSplit/>
          <w:trHeight w:val="396"/>
        </w:trPr>
        <w:tc>
          <w:tcPr>
            <w:tcW w:w="3969" w:type="dxa"/>
            <w:tcBorders>
              <w:top w:val="nil"/>
              <w:left w:val="single" w:sz="8" w:space="0" w:color="000000"/>
              <w:bottom w:val="nil"/>
              <w:right w:val="nil"/>
            </w:tcBorders>
            <w:shd w:val="clear" w:color="auto" w:fill="auto"/>
          </w:tcPr>
          <w:p w14:paraId="7C32E3F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760DB11" w14:textId="77777777" w:rsidR="00E87F7A" w:rsidRPr="001356F1" w:rsidRDefault="00E87F7A" w:rsidP="00CA37A6">
            <w:r w:rsidRPr="001356F1">
              <w:t xml:space="preserve">01865 </w:t>
            </w:r>
            <w:r w:rsidR="00CA37A6">
              <w:t>252238</w:t>
            </w:r>
            <w:r w:rsidR="00EE66B3">
              <w:t>/</w:t>
            </w:r>
            <w:r w:rsidRPr="001356F1">
              <w:t xml:space="preserve">  </w:t>
            </w:r>
            <w:r w:rsidR="00EE66B3">
              <w:t>01865 252541</w:t>
            </w:r>
          </w:p>
        </w:tc>
      </w:tr>
      <w:tr w:rsidR="005570B5" w:rsidRPr="001356F1" w14:paraId="339ED3A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992F6F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61A2234" w14:textId="77777777" w:rsidR="00824B46" w:rsidRPr="001356F1" w:rsidRDefault="00C9370C" w:rsidP="00824B46">
            <w:pPr>
              <w:rPr>
                <w:rStyle w:val="Hyperlink"/>
                <w:color w:val="000000"/>
              </w:rPr>
            </w:pPr>
            <w:hyperlink r:id="rId11" w:history="1">
              <w:r w:rsidR="00EE66B3" w:rsidRPr="00EE66B3">
                <w:rPr>
                  <w:rStyle w:val="Hyperlink"/>
                </w:rPr>
                <w:t>pspencer@oxford.gov.uk</w:t>
              </w:r>
              <w:r w:rsidR="00EE66B3" w:rsidRPr="00BF1F8A">
                <w:rPr>
                  <w:rStyle w:val="Hyperlink"/>
                </w:rPr>
                <w:t>/</w:t>
              </w:r>
            </w:hyperlink>
            <w:r w:rsidR="00EE66B3">
              <w:rPr>
                <w:rStyle w:val="Hyperlink"/>
              </w:rPr>
              <w:t xml:space="preserve"> probinson@oxford.gov.uk</w:t>
            </w:r>
          </w:p>
        </w:tc>
      </w:tr>
      <w:tr w:rsidR="00DF093E" w:rsidRPr="001356F1" w14:paraId="4417C591"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F2A47F7"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496D3B1" w14:textId="77777777" w:rsidR="00CE4C87" w:rsidRDefault="00CE4C87" w:rsidP="0093067A"/>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14F6F5" w15:done="0"/>
  <w15:commentEx w15:paraId="190CA2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4F6F5" w16cid:durableId="2194A3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E453" w14:textId="77777777" w:rsidR="00F23657" w:rsidRDefault="00F23657" w:rsidP="004A6D2F">
      <w:r>
        <w:separator/>
      </w:r>
    </w:p>
  </w:endnote>
  <w:endnote w:type="continuationSeparator" w:id="0">
    <w:p w14:paraId="10D8A500" w14:textId="77777777" w:rsidR="00F23657" w:rsidRDefault="00F2365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AAE4" w14:textId="77777777" w:rsidR="00F1518B" w:rsidRDefault="00F1518B" w:rsidP="004A6D2F">
    <w:pPr>
      <w:pStyle w:val="Footer"/>
    </w:pPr>
    <w:r>
      <w:t>Do not use a footer or page numbers.</w:t>
    </w:r>
  </w:p>
  <w:p w14:paraId="2811B00A" w14:textId="77777777" w:rsidR="00F1518B" w:rsidRDefault="00F1518B" w:rsidP="004A6D2F">
    <w:pPr>
      <w:pStyle w:val="Footer"/>
    </w:pPr>
  </w:p>
  <w:p w14:paraId="499B46D9" w14:textId="77777777" w:rsidR="00F1518B" w:rsidRDefault="00F1518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8792" w14:textId="77777777" w:rsidR="00F1518B" w:rsidRDefault="00F1518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C118" w14:textId="77777777" w:rsidR="00F23657" w:rsidRDefault="00F23657" w:rsidP="004A6D2F">
      <w:r>
        <w:separator/>
      </w:r>
    </w:p>
  </w:footnote>
  <w:footnote w:type="continuationSeparator" w:id="0">
    <w:p w14:paraId="340CDDBA" w14:textId="77777777" w:rsidR="00F23657" w:rsidRDefault="00F2365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17B4" w14:textId="77777777" w:rsidR="00F1518B" w:rsidRDefault="00CA37A6" w:rsidP="00D5547E">
    <w:pPr>
      <w:pStyle w:val="Header"/>
      <w:jc w:val="right"/>
    </w:pPr>
    <w:r>
      <w:rPr>
        <w:noProof/>
      </w:rPr>
      <w:drawing>
        <wp:inline distT="0" distB="0" distL="0" distR="0" wp14:anchorId="29B4E706" wp14:editId="1C0FA69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3B4A24"/>
    <w:multiLevelType w:val="hybridMultilevel"/>
    <w:tmpl w:val="74DCA1B4"/>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5780076"/>
    <w:multiLevelType w:val="hybridMultilevel"/>
    <w:tmpl w:val="BCB63714"/>
    <w:lvl w:ilvl="0" w:tplc="ADFC40F0">
      <w:start w:val="1"/>
      <w:numFmt w:val="bullet"/>
      <w:lvlText w:val=""/>
      <w:lvlJc w:val="left"/>
      <w:pPr>
        <w:tabs>
          <w:tab w:val="num" w:pos="1788"/>
        </w:tabs>
        <w:ind w:left="1788" w:hanging="360"/>
      </w:pPr>
      <w:rPr>
        <w:rFonts w:ascii="Wingdings" w:hAnsi="Wingdings"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641D79"/>
    <w:multiLevelType w:val="hybridMultilevel"/>
    <w:tmpl w:val="B0C2868C"/>
    <w:styleLink w:val="ImportedStyle1"/>
    <w:lvl w:ilvl="0" w:tplc="225099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E79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A633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01B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80D3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B6474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DE94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CE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424C3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27B0E0A"/>
    <w:multiLevelType w:val="hybridMultilevel"/>
    <w:tmpl w:val="931AB960"/>
    <w:lvl w:ilvl="0" w:tplc="3BA8F94A">
      <w:start w:val="45"/>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942170"/>
    <w:multiLevelType w:val="hybridMultilevel"/>
    <w:tmpl w:val="3544EDC2"/>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813188"/>
    <w:multiLevelType w:val="hybridMultilevel"/>
    <w:tmpl w:val="BB6CB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9C7DFF"/>
    <w:multiLevelType w:val="hybridMultilevel"/>
    <w:tmpl w:val="E0906F20"/>
    <w:lvl w:ilvl="0" w:tplc="B4D4C9A0">
      <w:start w:val="36"/>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1420CE"/>
    <w:multiLevelType w:val="hybridMultilevel"/>
    <w:tmpl w:val="88E8B1CC"/>
    <w:lvl w:ilvl="0" w:tplc="ED183870">
      <w:start w:val="28"/>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6FD6152"/>
    <w:multiLevelType w:val="hybridMultilevel"/>
    <w:tmpl w:val="B0C2868C"/>
    <w:numStyleLink w:val="ImportedStyle1"/>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22831"/>
    <w:multiLevelType w:val="multilevel"/>
    <w:tmpl w:val="43D6D2FA"/>
    <w:numStyleLink w:val="StyleBulletedSymbolsymbolLeft063cmHanging063cm"/>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15621A"/>
    <w:multiLevelType w:val="multilevel"/>
    <w:tmpl w:val="A8B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28B1028"/>
    <w:multiLevelType w:val="hybridMultilevel"/>
    <w:tmpl w:val="140ECBDC"/>
    <w:lvl w:ilvl="0" w:tplc="BD969BBC">
      <w:start w:val="28"/>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8B3C53"/>
    <w:multiLevelType w:val="hybridMultilevel"/>
    <w:tmpl w:val="DC72A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365C6"/>
    <w:multiLevelType w:val="multilevel"/>
    <w:tmpl w:val="93BE445E"/>
    <w:lvl w:ilvl="0">
      <w:start w:val="3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3"/>
  </w:num>
  <w:num w:numId="2">
    <w:abstractNumId w:val="39"/>
  </w:num>
  <w:num w:numId="3">
    <w:abstractNumId w:val="28"/>
  </w:num>
  <w:num w:numId="4">
    <w:abstractNumId w:val="23"/>
  </w:num>
  <w:num w:numId="5">
    <w:abstractNumId w:val="36"/>
  </w:num>
  <w:num w:numId="6">
    <w:abstractNumId w:val="41"/>
  </w:num>
  <w:num w:numId="7">
    <w:abstractNumId w:val="27"/>
  </w:num>
  <w:num w:numId="8">
    <w:abstractNumId w:val="24"/>
  </w:num>
  <w:num w:numId="9">
    <w:abstractNumId w:val="15"/>
  </w:num>
  <w:num w:numId="10">
    <w:abstractNumId w:val="18"/>
  </w:num>
  <w:num w:numId="11">
    <w:abstractNumId w:val="30"/>
  </w:num>
  <w:num w:numId="12">
    <w:abstractNumId w:val="29"/>
  </w:num>
  <w:num w:numId="13">
    <w:abstractNumId w:val="10"/>
  </w:num>
  <w:num w:numId="14">
    <w:abstractNumId w:val="44"/>
  </w:num>
  <w:num w:numId="15">
    <w:abstractNumId w:val="19"/>
  </w:num>
  <w:num w:numId="16">
    <w:abstractNumId w:val="11"/>
  </w:num>
  <w:num w:numId="17">
    <w:abstractNumId w:val="35"/>
  </w:num>
  <w:num w:numId="18">
    <w:abstractNumId w:val="12"/>
  </w:num>
  <w:num w:numId="19">
    <w:abstractNumId w:val="37"/>
  </w:num>
  <w:num w:numId="20">
    <w:abstractNumId w:val="20"/>
  </w:num>
  <w:num w:numId="21">
    <w:abstractNumId w:val="26"/>
  </w:num>
  <w:num w:numId="22">
    <w:abstractNumId w:val="16"/>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4"/>
  </w:num>
  <w:num w:numId="36">
    <w:abstractNumId w:val="43"/>
  </w:num>
  <w:num w:numId="37">
    <w:abstractNumId w:val="25"/>
  </w:num>
  <w:num w:numId="38">
    <w:abstractNumId w:val="32"/>
  </w:num>
  <w:num w:numId="39">
    <w:abstractNumId w:val="42"/>
  </w:num>
  <w:num w:numId="40">
    <w:abstractNumId w:val="17"/>
  </w:num>
  <w:num w:numId="41">
    <w:abstractNumId w:val="34"/>
  </w:num>
  <w:num w:numId="42">
    <w:abstractNumId w:val="31"/>
  </w:num>
  <w:num w:numId="43">
    <w:abstractNumId w:val="4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0"/>
  </w:num>
  <w:num w:numId="46">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DLER Tim">
    <w15:presenceInfo w15:providerId="AD" w15:userId="S::tsadler@oxford.gov.uk::c8fc9525-3a1d-44b8-9be2-43a18673ed6f"/>
  </w15:person>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A6"/>
    <w:rsid w:val="000014CB"/>
    <w:rsid w:val="000117D4"/>
    <w:rsid w:val="00024BB1"/>
    <w:rsid w:val="000314D7"/>
    <w:rsid w:val="00032E56"/>
    <w:rsid w:val="000444D4"/>
    <w:rsid w:val="00045F8B"/>
    <w:rsid w:val="00046D2B"/>
    <w:rsid w:val="0005120C"/>
    <w:rsid w:val="000543B0"/>
    <w:rsid w:val="00056263"/>
    <w:rsid w:val="00064914"/>
    <w:rsid w:val="00064D8A"/>
    <w:rsid w:val="00064F82"/>
    <w:rsid w:val="00066510"/>
    <w:rsid w:val="00077523"/>
    <w:rsid w:val="00080F93"/>
    <w:rsid w:val="000A43B6"/>
    <w:rsid w:val="000B0D43"/>
    <w:rsid w:val="000B11C0"/>
    <w:rsid w:val="000C089F"/>
    <w:rsid w:val="000C33DB"/>
    <w:rsid w:val="000C3928"/>
    <w:rsid w:val="000C5E8E"/>
    <w:rsid w:val="000F4751"/>
    <w:rsid w:val="0010524C"/>
    <w:rsid w:val="001113B7"/>
    <w:rsid w:val="00111FB1"/>
    <w:rsid w:val="00112F2B"/>
    <w:rsid w:val="00113418"/>
    <w:rsid w:val="001166C0"/>
    <w:rsid w:val="001356F1"/>
    <w:rsid w:val="00136994"/>
    <w:rsid w:val="0014128E"/>
    <w:rsid w:val="00150837"/>
    <w:rsid w:val="00151888"/>
    <w:rsid w:val="00162A6C"/>
    <w:rsid w:val="00170A2D"/>
    <w:rsid w:val="00171932"/>
    <w:rsid w:val="00171CBD"/>
    <w:rsid w:val="001752AD"/>
    <w:rsid w:val="001808BC"/>
    <w:rsid w:val="00182B81"/>
    <w:rsid w:val="00183449"/>
    <w:rsid w:val="0018619D"/>
    <w:rsid w:val="00195CC6"/>
    <w:rsid w:val="001A011E"/>
    <w:rsid w:val="001A066A"/>
    <w:rsid w:val="001A13E6"/>
    <w:rsid w:val="001A5731"/>
    <w:rsid w:val="001B1F84"/>
    <w:rsid w:val="001B42C3"/>
    <w:rsid w:val="001C5D5E"/>
    <w:rsid w:val="001D678D"/>
    <w:rsid w:val="001E03F8"/>
    <w:rsid w:val="001E1678"/>
    <w:rsid w:val="001E3376"/>
    <w:rsid w:val="001F5B64"/>
    <w:rsid w:val="00201212"/>
    <w:rsid w:val="002069B3"/>
    <w:rsid w:val="00214BF9"/>
    <w:rsid w:val="00216848"/>
    <w:rsid w:val="002177FD"/>
    <w:rsid w:val="002329CF"/>
    <w:rsid w:val="00232F5B"/>
    <w:rsid w:val="00235769"/>
    <w:rsid w:val="00247C29"/>
    <w:rsid w:val="00251036"/>
    <w:rsid w:val="00260467"/>
    <w:rsid w:val="00263EA3"/>
    <w:rsid w:val="00266F6C"/>
    <w:rsid w:val="00272AAD"/>
    <w:rsid w:val="00273A39"/>
    <w:rsid w:val="00281AD8"/>
    <w:rsid w:val="00284F85"/>
    <w:rsid w:val="00290382"/>
    <w:rsid w:val="00290915"/>
    <w:rsid w:val="002A22E2"/>
    <w:rsid w:val="002A42DB"/>
    <w:rsid w:val="002A43E3"/>
    <w:rsid w:val="002A604C"/>
    <w:rsid w:val="002B68FB"/>
    <w:rsid w:val="002C64F7"/>
    <w:rsid w:val="002F41F2"/>
    <w:rsid w:val="00301BF3"/>
    <w:rsid w:val="0030208D"/>
    <w:rsid w:val="003047FE"/>
    <w:rsid w:val="0032077F"/>
    <w:rsid w:val="00323418"/>
    <w:rsid w:val="003311FE"/>
    <w:rsid w:val="003346A2"/>
    <w:rsid w:val="0033492D"/>
    <w:rsid w:val="003357BF"/>
    <w:rsid w:val="00352709"/>
    <w:rsid w:val="00362C7B"/>
    <w:rsid w:val="00364FAD"/>
    <w:rsid w:val="0036738F"/>
    <w:rsid w:val="0036759C"/>
    <w:rsid w:val="00367AE5"/>
    <w:rsid w:val="00367D71"/>
    <w:rsid w:val="0038150A"/>
    <w:rsid w:val="00381749"/>
    <w:rsid w:val="00395BD8"/>
    <w:rsid w:val="003B6E75"/>
    <w:rsid w:val="003B7DA1"/>
    <w:rsid w:val="003C481E"/>
    <w:rsid w:val="003D0379"/>
    <w:rsid w:val="003D2574"/>
    <w:rsid w:val="003D4C59"/>
    <w:rsid w:val="003D546E"/>
    <w:rsid w:val="003E15EC"/>
    <w:rsid w:val="003F4267"/>
    <w:rsid w:val="0040100C"/>
    <w:rsid w:val="00404032"/>
    <w:rsid w:val="0040736F"/>
    <w:rsid w:val="004127F4"/>
    <w:rsid w:val="00412C1F"/>
    <w:rsid w:val="00421CB2"/>
    <w:rsid w:val="004268B9"/>
    <w:rsid w:val="00427D0D"/>
    <w:rsid w:val="00432752"/>
    <w:rsid w:val="00433B96"/>
    <w:rsid w:val="004440F1"/>
    <w:rsid w:val="004456DD"/>
    <w:rsid w:val="00446CDF"/>
    <w:rsid w:val="004521B7"/>
    <w:rsid w:val="00462AB5"/>
    <w:rsid w:val="00465EAF"/>
    <w:rsid w:val="004669DF"/>
    <w:rsid w:val="004738C5"/>
    <w:rsid w:val="00480335"/>
    <w:rsid w:val="00487E3B"/>
    <w:rsid w:val="00491046"/>
    <w:rsid w:val="004A2AC7"/>
    <w:rsid w:val="004A6D2F"/>
    <w:rsid w:val="004B16F7"/>
    <w:rsid w:val="004C24DE"/>
    <w:rsid w:val="004C2887"/>
    <w:rsid w:val="004D2626"/>
    <w:rsid w:val="004D6E26"/>
    <w:rsid w:val="004D77D3"/>
    <w:rsid w:val="004D7F9B"/>
    <w:rsid w:val="004E1435"/>
    <w:rsid w:val="004E27B4"/>
    <w:rsid w:val="004E2959"/>
    <w:rsid w:val="004F20EF"/>
    <w:rsid w:val="0050321C"/>
    <w:rsid w:val="00521B0F"/>
    <w:rsid w:val="005236CE"/>
    <w:rsid w:val="0053202A"/>
    <w:rsid w:val="00533120"/>
    <w:rsid w:val="00535374"/>
    <w:rsid w:val="005357A9"/>
    <w:rsid w:val="0054712D"/>
    <w:rsid w:val="00547EF6"/>
    <w:rsid w:val="005550BC"/>
    <w:rsid w:val="005570B5"/>
    <w:rsid w:val="00557A93"/>
    <w:rsid w:val="00563CAA"/>
    <w:rsid w:val="00567E18"/>
    <w:rsid w:val="00575F5F"/>
    <w:rsid w:val="00576A57"/>
    <w:rsid w:val="00581805"/>
    <w:rsid w:val="00585F76"/>
    <w:rsid w:val="005A34E4"/>
    <w:rsid w:val="005B17F2"/>
    <w:rsid w:val="005B7FB0"/>
    <w:rsid w:val="005C087B"/>
    <w:rsid w:val="005C35A5"/>
    <w:rsid w:val="005C3AFA"/>
    <w:rsid w:val="005C577C"/>
    <w:rsid w:val="005D0621"/>
    <w:rsid w:val="005D0E92"/>
    <w:rsid w:val="005D1E27"/>
    <w:rsid w:val="005D2A3E"/>
    <w:rsid w:val="005D3AC2"/>
    <w:rsid w:val="005E022E"/>
    <w:rsid w:val="005E5215"/>
    <w:rsid w:val="005F7F7E"/>
    <w:rsid w:val="006013DC"/>
    <w:rsid w:val="00614693"/>
    <w:rsid w:val="00620C21"/>
    <w:rsid w:val="00623C2F"/>
    <w:rsid w:val="00630097"/>
    <w:rsid w:val="00632918"/>
    <w:rsid w:val="00633578"/>
    <w:rsid w:val="00633FAE"/>
    <w:rsid w:val="0063676C"/>
    <w:rsid w:val="00637068"/>
    <w:rsid w:val="00637D6D"/>
    <w:rsid w:val="00650811"/>
    <w:rsid w:val="00661D3E"/>
    <w:rsid w:val="006672EB"/>
    <w:rsid w:val="00673065"/>
    <w:rsid w:val="00681A78"/>
    <w:rsid w:val="0068610E"/>
    <w:rsid w:val="006910CF"/>
    <w:rsid w:val="00691333"/>
    <w:rsid w:val="00692627"/>
    <w:rsid w:val="006969E7"/>
    <w:rsid w:val="006A3643"/>
    <w:rsid w:val="006C2A29"/>
    <w:rsid w:val="006C4647"/>
    <w:rsid w:val="006C64CF"/>
    <w:rsid w:val="006D17B1"/>
    <w:rsid w:val="006D4752"/>
    <w:rsid w:val="006D6AA7"/>
    <w:rsid w:val="006D708A"/>
    <w:rsid w:val="006E14C1"/>
    <w:rsid w:val="006F0292"/>
    <w:rsid w:val="006F27FA"/>
    <w:rsid w:val="006F34ED"/>
    <w:rsid w:val="006F416B"/>
    <w:rsid w:val="006F519B"/>
    <w:rsid w:val="006F752F"/>
    <w:rsid w:val="00710FFA"/>
    <w:rsid w:val="00713675"/>
    <w:rsid w:val="00715823"/>
    <w:rsid w:val="00720E81"/>
    <w:rsid w:val="007217F1"/>
    <w:rsid w:val="007373FF"/>
    <w:rsid w:val="00737B93"/>
    <w:rsid w:val="00745BF0"/>
    <w:rsid w:val="00747ABA"/>
    <w:rsid w:val="00750D87"/>
    <w:rsid w:val="00752C4A"/>
    <w:rsid w:val="007615FE"/>
    <w:rsid w:val="0076655C"/>
    <w:rsid w:val="00767DA0"/>
    <w:rsid w:val="007742DC"/>
    <w:rsid w:val="00791437"/>
    <w:rsid w:val="00794911"/>
    <w:rsid w:val="0079572C"/>
    <w:rsid w:val="007B0C2C"/>
    <w:rsid w:val="007B278E"/>
    <w:rsid w:val="007B709B"/>
    <w:rsid w:val="007B7948"/>
    <w:rsid w:val="007C5C23"/>
    <w:rsid w:val="007D234D"/>
    <w:rsid w:val="007E2A26"/>
    <w:rsid w:val="007F2348"/>
    <w:rsid w:val="00803F07"/>
    <w:rsid w:val="0080749A"/>
    <w:rsid w:val="00821FB8"/>
    <w:rsid w:val="00822ACD"/>
    <w:rsid w:val="00824B46"/>
    <w:rsid w:val="00825E45"/>
    <w:rsid w:val="008410E6"/>
    <w:rsid w:val="00846800"/>
    <w:rsid w:val="008513C4"/>
    <w:rsid w:val="0085225A"/>
    <w:rsid w:val="00855C66"/>
    <w:rsid w:val="00857F53"/>
    <w:rsid w:val="0086003B"/>
    <w:rsid w:val="00871EE4"/>
    <w:rsid w:val="00891E4D"/>
    <w:rsid w:val="00894703"/>
    <w:rsid w:val="008B293F"/>
    <w:rsid w:val="008B2A8C"/>
    <w:rsid w:val="008B7371"/>
    <w:rsid w:val="008C45A3"/>
    <w:rsid w:val="008D3224"/>
    <w:rsid w:val="008D3DDB"/>
    <w:rsid w:val="008E6E54"/>
    <w:rsid w:val="008F573F"/>
    <w:rsid w:val="008F6957"/>
    <w:rsid w:val="009034EC"/>
    <w:rsid w:val="00910DE9"/>
    <w:rsid w:val="00930412"/>
    <w:rsid w:val="0093067A"/>
    <w:rsid w:val="00941C60"/>
    <w:rsid w:val="00941FD1"/>
    <w:rsid w:val="0094515D"/>
    <w:rsid w:val="00952975"/>
    <w:rsid w:val="0095360D"/>
    <w:rsid w:val="00954069"/>
    <w:rsid w:val="00956CC7"/>
    <w:rsid w:val="00961FD7"/>
    <w:rsid w:val="00966D42"/>
    <w:rsid w:val="00967809"/>
    <w:rsid w:val="009713F4"/>
    <w:rsid w:val="00971689"/>
    <w:rsid w:val="00973E90"/>
    <w:rsid w:val="00975B07"/>
    <w:rsid w:val="00980B4A"/>
    <w:rsid w:val="00980CF1"/>
    <w:rsid w:val="0098244F"/>
    <w:rsid w:val="009861B5"/>
    <w:rsid w:val="009872FB"/>
    <w:rsid w:val="009952CB"/>
    <w:rsid w:val="009C2C3A"/>
    <w:rsid w:val="009C30F7"/>
    <w:rsid w:val="009D5015"/>
    <w:rsid w:val="009E0BEF"/>
    <w:rsid w:val="009E3D0A"/>
    <w:rsid w:val="009E51FC"/>
    <w:rsid w:val="009F1D28"/>
    <w:rsid w:val="009F75B7"/>
    <w:rsid w:val="009F7618"/>
    <w:rsid w:val="00A04D23"/>
    <w:rsid w:val="00A06766"/>
    <w:rsid w:val="00A13765"/>
    <w:rsid w:val="00A21B12"/>
    <w:rsid w:val="00A23F80"/>
    <w:rsid w:val="00A25515"/>
    <w:rsid w:val="00A32929"/>
    <w:rsid w:val="00A46E98"/>
    <w:rsid w:val="00A50507"/>
    <w:rsid w:val="00A6352B"/>
    <w:rsid w:val="00A65E3F"/>
    <w:rsid w:val="00A701B5"/>
    <w:rsid w:val="00A714BB"/>
    <w:rsid w:val="00A7160A"/>
    <w:rsid w:val="00A76F5F"/>
    <w:rsid w:val="00A77147"/>
    <w:rsid w:val="00A87463"/>
    <w:rsid w:val="00A9087E"/>
    <w:rsid w:val="00A92D8F"/>
    <w:rsid w:val="00AB2988"/>
    <w:rsid w:val="00AB371A"/>
    <w:rsid w:val="00AB7999"/>
    <w:rsid w:val="00AC646E"/>
    <w:rsid w:val="00AC6CF0"/>
    <w:rsid w:val="00AD3292"/>
    <w:rsid w:val="00AD6087"/>
    <w:rsid w:val="00AE7AF0"/>
    <w:rsid w:val="00B03C81"/>
    <w:rsid w:val="00B05162"/>
    <w:rsid w:val="00B17A36"/>
    <w:rsid w:val="00B17B62"/>
    <w:rsid w:val="00B3708E"/>
    <w:rsid w:val="00B500CA"/>
    <w:rsid w:val="00B50F74"/>
    <w:rsid w:val="00B5460C"/>
    <w:rsid w:val="00B71EA5"/>
    <w:rsid w:val="00B73EBF"/>
    <w:rsid w:val="00B8364D"/>
    <w:rsid w:val="00B86314"/>
    <w:rsid w:val="00B91C14"/>
    <w:rsid w:val="00BA15E2"/>
    <w:rsid w:val="00BA1C2E"/>
    <w:rsid w:val="00BA1C71"/>
    <w:rsid w:val="00BA5235"/>
    <w:rsid w:val="00BB210D"/>
    <w:rsid w:val="00BC200B"/>
    <w:rsid w:val="00BC4756"/>
    <w:rsid w:val="00BC563D"/>
    <w:rsid w:val="00BC69A4"/>
    <w:rsid w:val="00BD7839"/>
    <w:rsid w:val="00BE0680"/>
    <w:rsid w:val="00BE305F"/>
    <w:rsid w:val="00BE7BA3"/>
    <w:rsid w:val="00BF043C"/>
    <w:rsid w:val="00BF5682"/>
    <w:rsid w:val="00BF7B09"/>
    <w:rsid w:val="00C147C2"/>
    <w:rsid w:val="00C20A95"/>
    <w:rsid w:val="00C244ED"/>
    <w:rsid w:val="00C2692F"/>
    <w:rsid w:val="00C3207C"/>
    <w:rsid w:val="00C400E1"/>
    <w:rsid w:val="00C40390"/>
    <w:rsid w:val="00C41187"/>
    <w:rsid w:val="00C476A4"/>
    <w:rsid w:val="00C50BBF"/>
    <w:rsid w:val="00C6196E"/>
    <w:rsid w:val="00C63C31"/>
    <w:rsid w:val="00C757A0"/>
    <w:rsid w:val="00C760DE"/>
    <w:rsid w:val="00C80D20"/>
    <w:rsid w:val="00C82630"/>
    <w:rsid w:val="00C85B4E"/>
    <w:rsid w:val="00C907F7"/>
    <w:rsid w:val="00C9370C"/>
    <w:rsid w:val="00CA1FDD"/>
    <w:rsid w:val="00CA2103"/>
    <w:rsid w:val="00CA37A6"/>
    <w:rsid w:val="00CA5634"/>
    <w:rsid w:val="00CB3711"/>
    <w:rsid w:val="00CB6B99"/>
    <w:rsid w:val="00CC2282"/>
    <w:rsid w:val="00CC7BDB"/>
    <w:rsid w:val="00CD52EC"/>
    <w:rsid w:val="00CD75FE"/>
    <w:rsid w:val="00CE4C87"/>
    <w:rsid w:val="00CE544A"/>
    <w:rsid w:val="00CF0735"/>
    <w:rsid w:val="00CF1B7C"/>
    <w:rsid w:val="00D11E1C"/>
    <w:rsid w:val="00D160B0"/>
    <w:rsid w:val="00D17F94"/>
    <w:rsid w:val="00D223FC"/>
    <w:rsid w:val="00D26D1E"/>
    <w:rsid w:val="00D34AA8"/>
    <w:rsid w:val="00D456C4"/>
    <w:rsid w:val="00D474CF"/>
    <w:rsid w:val="00D5547E"/>
    <w:rsid w:val="00D57B0B"/>
    <w:rsid w:val="00D844EA"/>
    <w:rsid w:val="00D860E2"/>
    <w:rsid w:val="00D869A1"/>
    <w:rsid w:val="00DA413F"/>
    <w:rsid w:val="00DA4584"/>
    <w:rsid w:val="00DA614B"/>
    <w:rsid w:val="00DB7AD7"/>
    <w:rsid w:val="00DC0AA8"/>
    <w:rsid w:val="00DC3060"/>
    <w:rsid w:val="00DD1EC9"/>
    <w:rsid w:val="00DD2A10"/>
    <w:rsid w:val="00DE0FB2"/>
    <w:rsid w:val="00DE6E51"/>
    <w:rsid w:val="00DF093E"/>
    <w:rsid w:val="00E01F42"/>
    <w:rsid w:val="00E0762C"/>
    <w:rsid w:val="00E105C2"/>
    <w:rsid w:val="00E206D6"/>
    <w:rsid w:val="00E27F0F"/>
    <w:rsid w:val="00E3366E"/>
    <w:rsid w:val="00E46398"/>
    <w:rsid w:val="00E52086"/>
    <w:rsid w:val="00E543A6"/>
    <w:rsid w:val="00E60479"/>
    <w:rsid w:val="00E61D73"/>
    <w:rsid w:val="00E64172"/>
    <w:rsid w:val="00E73684"/>
    <w:rsid w:val="00E818D6"/>
    <w:rsid w:val="00E87F7A"/>
    <w:rsid w:val="00E94B3E"/>
    <w:rsid w:val="00E96BD7"/>
    <w:rsid w:val="00EA0DB1"/>
    <w:rsid w:val="00EA0EE9"/>
    <w:rsid w:val="00EA3A84"/>
    <w:rsid w:val="00EB36A0"/>
    <w:rsid w:val="00EB3B60"/>
    <w:rsid w:val="00EB5B90"/>
    <w:rsid w:val="00EC4926"/>
    <w:rsid w:val="00ED52CA"/>
    <w:rsid w:val="00ED5860"/>
    <w:rsid w:val="00EE0388"/>
    <w:rsid w:val="00EE35C9"/>
    <w:rsid w:val="00EE66B3"/>
    <w:rsid w:val="00EF27D1"/>
    <w:rsid w:val="00F05ECA"/>
    <w:rsid w:val="00F1518B"/>
    <w:rsid w:val="00F23657"/>
    <w:rsid w:val="00F3566E"/>
    <w:rsid w:val="00F375FB"/>
    <w:rsid w:val="00F41AC1"/>
    <w:rsid w:val="00F4367A"/>
    <w:rsid w:val="00F445B1"/>
    <w:rsid w:val="00F45CD4"/>
    <w:rsid w:val="00F51F4D"/>
    <w:rsid w:val="00F62EDB"/>
    <w:rsid w:val="00F66DCA"/>
    <w:rsid w:val="00F713CA"/>
    <w:rsid w:val="00F72F45"/>
    <w:rsid w:val="00F74F53"/>
    <w:rsid w:val="00F7606D"/>
    <w:rsid w:val="00F81670"/>
    <w:rsid w:val="00F82024"/>
    <w:rsid w:val="00F95BC9"/>
    <w:rsid w:val="00FA06E2"/>
    <w:rsid w:val="00FA624C"/>
    <w:rsid w:val="00FD0FAC"/>
    <w:rsid w:val="00FD1DFA"/>
    <w:rsid w:val="00FD4966"/>
    <w:rsid w:val="00FE3B46"/>
    <w:rsid w:val="00FE57DC"/>
    <w:rsid w:val="00FF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FC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TOC1"/>
    <w:rsid w:val="00266F6C"/>
    <w:pPr>
      <w:tabs>
        <w:tab w:val="left" w:pos="709"/>
        <w:tab w:val="right" w:leader="dot" w:pos="9072"/>
      </w:tabs>
      <w:overflowPunct w:val="0"/>
      <w:autoSpaceDE w:val="0"/>
      <w:autoSpaceDN w:val="0"/>
      <w:adjustRightInd w:val="0"/>
      <w:spacing w:after="0" w:line="480" w:lineRule="auto"/>
      <w:textAlignment w:val="baseline"/>
    </w:pPr>
    <w:rPr>
      <w:color w:val="auto"/>
      <w:szCs w:val="20"/>
      <w:lang w:eastAsia="en-US"/>
    </w:rPr>
  </w:style>
  <w:style w:type="paragraph" w:styleId="FootnoteText">
    <w:name w:val="footnote text"/>
    <w:basedOn w:val="Normal"/>
    <w:link w:val="FootnoteTextChar"/>
    <w:rsid w:val="00266F6C"/>
    <w:pPr>
      <w:spacing w:after="0"/>
    </w:pPr>
    <w:rPr>
      <w:color w:val="auto"/>
      <w:sz w:val="20"/>
      <w:szCs w:val="20"/>
      <w:lang w:eastAsia="en-US"/>
    </w:rPr>
  </w:style>
  <w:style w:type="character" w:customStyle="1" w:styleId="FootnoteTextChar">
    <w:name w:val="Footnote Text Char"/>
    <w:basedOn w:val="DefaultParagraphFont"/>
    <w:link w:val="FootnoteText"/>
    <w:rsid w:val="00266F6C"/>
    <w:rPr>
      <w:lang w:eastAsia="en-US"/>
    </w:rPr>
  </w:style>
  <w:style w:type="character" w:styleId="FootnoteReference">
    <w:name w:val="footnote reference"/>
    <w:basedOn w:val="DefaultParagraphFont"/>
    <w:rsid w:val="00266F6C"/>
    <w:rPr>
      <w:vertAlign w:val="superscript"/>
    </w:rPr>
  </w:style>
  <w:style w:type="paragraph" w:styleId="TOC1">
    <w:name w:val="toc 1"/>
    <w:basedOn w:val="Normal"/>
    <w:next w:val="Normal"/>
    <w:autoRedefine/>
    <w:rsid w:val="00266F6C"/>
    <w:pPr>
      <w:spacing w:after="100"/>
    </w:pPr>
  </w:style>
  <w:style w:type="paragraph" w:customStyle="1" w:styleId="Default">
    <w:name w:val="Default"/>
    <w:rsid w:val="009861B5"/>
    <w:pPr>
      <w:autoSpaceDE w:val="0"/>
      <w:autoSpaceDN w:val="0"/>
      <w:adjustRightInd w:val="0"/>
    </w:pPr>
    <w:rPr>
      <w:rFonts w:ascii="Tahoma" w:eastAsiaTheme="minorHAnsi" w:hAnsi="Tahoma" w:cs="Tahoma"/>
      <w:color w:val="000000"/>
      <w:sz w:val="24"/>
      <w:szCs w:val="24"/>
      <w:lang w:eastAsia="en-US"/>
    </w:rPr>
  </w:style>
  <w:style w:type="paragraph" w:customStyle="1" w:styleId="summary">
    <w:name w:val="summary"/>
    <w:basedOn w:val="Normal"/>
    <w:rsid w:val="00A25515"/>
    <w:pPr>
      <w:spacing w:before="100" w:beforeAutospacing="1" w:after="100" w:afterAutospacing="1"/>
    </w:pPr>
    <w:rPr>
      <w:rFonts w:ascii="Times New Roman" w:hAnsi="Times New Roman"/>
      <w:color w:val="auto"/>
    </w:rPr>
  </w:style>
  <w:style w:type="character" w:customStyle="1" w:styleId="subscripttext">
    <w:name w:val="subscript_text"/>
    <w:basedOn w:val="DefaultParagraphFont"/>
    <w:rsid w:val="00A25515"/>
  </w:style>
  <w:style w:type="paragraph" w:customStyle="1" w:styleId="Body">
    <w:name w:val="Body"/>
    <w:rsid w:val="0095360D"/>
    <w:pPr>
      <w:pBdr>
        <w:top w:val="nil"/>
        <w:left w:val="nil"/>
        <w:bottom w:val="nil"/>
        <w:right w:val="nil"/>
        <w:between w:val="nil"/>
        <w:bar w:val="nil"/>
      </w:pBdr>
      <w:spacing w:after="120"/>
    </w:pPr>
    <w:rPr>
      <w:rFonts w:eastAsia="Arial" w:cs="Arial"/>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6672E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TOC1"/>
    <w:rsid w:val="00266F6C"/>
    <w:pPr>
      <w:tabs>
        <w:tab w:val="left" w:pos="709"/>
        <w:tab w:val="right" w:leader="dot" w:pos="9072"/>
      </w:tabs>
      <w:overflowPunct w:val="0"/>
      <w:autoSpaceDE w:val="0"/>
      <w:autoSpaceDN w:val="0"/>
      <w:adjustRightInd w:val="0"/>
      <w:spacing w:after="0" w:line="480" w:lineRule="auto"/>
      <w:textAlignment w:val="baseline"/>
    </w:pPr>
    <w:rPr>
      <w:color w:val="auto"/>
      <w:szCs w:val="20"/>
      <w:lang w:eastAsia="en-US"/>
    </w:rPr>
  </w:style>
  <w:style w:type="paragraph" w:styleId="FootnoteText">
    <w:name w:val="footnote text"/>
    <w:basedOn w:val="Normal"/>
    <w:link w:val="FootnoteTextChar"/>
    <w:rsid w:val="00266F6C"/>
    <w:pPr>
      <w:spacing w:after="0"/>
    </w:pPr>
    <w:rPr>
      <w:color w:val="auto"/>
      <w:sz w:val="20"/>
      <w:szCs w:val="20"/>
      <w:lang w:eastAsia="en-US"/>
    </w:rPr>
  </w:style>
  <w:style w:type="character" w:customStyle="1" w:styleId="FootnoteTextChar">
    <w:name w:val="Footnote Text Char"/>
    <w:basedOn w:val="DefaultParagraphFont"/>
    <w:link w:val="FootnoteText"/>
    <w:rsid w:val="00266F6C"/>
    <w:rPr>
      <w:lang w:eastAsia="en-US"/>
    </w:rPr>
  </w:style>
  <w:style w:type="character" w:styleId="FootnoteReference">
    <w:name w:val="footnote reference"/>
    <w:basedOn w:val="DefaultParagraphFont"/>
    <w:rsid w:val="00266F6C"/>
    <w:rPr>
      <w:vertAlign w:val="superscript"/>
    </w:rPr>
  </w:style>
  <w:style w:type="paragraph" w:styleId="TOC1">
    <w:name w:val="toc 1"/>
    <w:basedOn w:val="Normal"/>
    <w:next w:val="Normal"/>
    <w:autoRedefine/>
    <w:rsid w:val="00266F6C"/>
    <w:pPr>
      <w:spacing w:after="100"/>
    </w:pPr>
  </w:style>
  <w:style w:type="paragraph" w:customStyle="1" w:styleId="Default">
    <w:name w:val="Default"/>
    <w:rsid w:val="009861B5"/>
    <w:pPr>
      <w:autoSpaceDE w:val="0"/>
      <w:autoSpaceDN w:val="0"/>
      <w:adjustRightInd w:val="0"/>
    </w:pPr>
    <w:rPr>
      <w:rFonts w:ascii="Tahoma" w:eastAsiaTheme="minorHAnsi" w:hAnsi="Tahoma" w:cs="Tahoma"/>
      <w:color w:val="000000"/>
      <w:sz w:val="24"/>
      <w:szCs w:val="24"/>
      <w:lang w:eastAsia="en-US"/>
    </w:rPr>
  </w:style>
  <w:style w:type="paragraph" w:customStyle="1" w:styleId="summary">
    <w:name w:val="summary"/>
    <w:basedOn w:val="Normal"/>
    <w:rsid w:val="00A25515"/>
    <w:pPr>
      <w:spacing w:before="100" w:beforeAutospacing="1" w:after="100" w:afterAutospacing="1"/>
    </w:pPr>
    <w:rPr>
      <w:rFonts w:ascii="Times New Roman" w:hAnsi="Times New Roman"/>
      <w:color w:val="auto"/>
    </w:rPr>
  </w:style>
  <w:style w:type="character" w:customStyle="1" w:styleId="subscripttext">
    <w:name w:val="subscript_text"/>
    <w:basedOn w:val="DefaultParagraphFont"/>
    <w:rsid w:val="00A25515"/>
  </w:style>
  <w:style w:type="paragraph" w:customStyle="1" w:styleId="Body">
    <w:name w:val="Body"/>
    <w:rsid w:val="0095360D"/>
    <w:pPr>
      <w:pBdr>
        <w:top w:val="nil"/>
        <w:left w:val="nil"/>
        <w:bottom w:val="nil"/>
        <w:right w:val="nil"/>
        <w:between w:val="nil"/>
        <w:bar w:val="nil"/>
      </w:pBdr>
      <w:spacing w:after="120"/>
    </w:pPr>
    <w:rPr>
      <w:rFonts w:eastAsia="Arial" w:cs="Arial"/>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6672E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48226369">
      <w:bodyDiv w:val="1"/>
      <w:marLeft w:val="0"/>
      <w:marRight w:val="0"/>
      <w:marTop w:val="0"/>
      <w:marBottom w:val="0"/>
      <w:divBdr>
        <w:top w:val="none" w:sz="0" w:space="0" w:color="auto"/>
        <w:left w:val="none" w:sz="0" w:space="0" w:color="auto"/>
        <w:bottom w:val="none" w:sz="0" w:space="0" w:color="auto"/>
        <w:right w:val="none" w:sz="0" w:space="0" w:color="auto"/>
      </w:divBdr>
      <w:divsChild>
        <w:div w:id="1717121785">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3748841">
      <w:bodyDiv w:val="1"/>
      <w:marLeft w:val="0"/>
      <w:marRight w:val="0"/>
      <w:marTop w:val="0"/>
      <w:marBottom w:val="0"/>
      <w:divBdr>
        <w:top w:val="none" w:sz="0" w:space="0" w:color="auto"/>
        <w:left w:val="none" w:sz="0" w:space="0" w:color="auto"/>
        <w:bottom w:val="none" w:sz="0" w:space="0" w:color="auto"/>
        <w:right w:val="none" w:sz="0" w:space="0" w:color="auto"/>
      </w:divBdr>
      <w:divsChild>
        <w:div w:id="297075173">
          <w:marLeft w:val="0"/>
          <w:marRight w:val="0"/>
          <w:marTop w:val="0"/>
          <w:marBottom w:val="0"/>
          <w:divBdr>
            <w:top w:val="none" w:sz="0" w:space="0" w:color="auto"/>
            <w:left w:val="none" w:sz="0" w:space="0" w:color="auto"/>
            <w:bottom w:val="none" w:sz="0" w:space="0" w:color="auto"/>
            <w:right w:val="none" w:sz="0" w:space="0" w:color="auto"/>
          </w:divBdr>
          <w:divsChild>
            <w:div w:id="771973731">
              <w:marLeft w:val="0"/>
              <w:marRight w:val="0"/>
              <w:marTop w:val="0"/>
              <w:marBottom w:val="0"/>
              <w:divBdr>
                <w:top w:val="none" w:sz="0" w:space="0" w:color="auto"/>
                <w:left w:val="none" w:sz="0" w:space="0" w:color="auto"/>
                <w:bottom w:val="none" w:sz="0" w:space="0" w:color="auto"/>
                <w:right w:val="none" w:sz="0" w:space="0" w:color="auto"/>
              </w:divBdr>
              <w:divsChild>
                <w:div w:id="960917176">
                  <w:marLeft w:val="0"/>
                  <w:marRight w:val="0"/>
                  <w:marTop w:val="0"/>
                  <w:marBottom w:val="0"/>
                  <w:divBdr>
                    <w:top w:val="none" w:sz="0" w:space="0" w:color="auto"/>
                    <w:left w:val="none" w:sz="0" w:space="0" w:color="auto"/>
                    <w:bottom w:val="none" w:sz="0" w:space="0" w:color="auto"/>
                    <w:right w:val="none" w:sz="0" w:space="0" w:color="auto"/>
                  </w:divBdr>
                  <w:divsChild>
                    <w:div w:id="209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0469220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592929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2304982">
      <w:bodyDiv w:val="1"/>
      <w:marLeft w:val="0"/>
      <w:marRight w:val="0"/>
      <w:marTop w:val="0"/>
      <w:marBottom w:val="0"/>
      <w:divBdr>
        <w:top w:val="none" w:sz="0" w:space="0" w:color="auto"/>
        <w:left w:val="none" w:sz="0" w:space="0" w:color="auto"/>
        <w:bottom w:val="none" w:sz="0" w:space="0" w:color="auto"/>
        <w:right w:val="none" w:sz="0" w:space="0" w:color="auto"/>
      </w:divBdr>
      <w:divsChild>
        <w:div w:id="1924874898">
          <w:marLeft w:val="0"/>
          <w:marRight w:val="0"/>
          <w:marTop w:val="0"/>
          <w:marBottom w:val="0"/>
          <w:divBdr>
            <w:top w:val="none" w:sz="0" w:space="0" w:color="auto"/>
            <w:left w:val="single" w:sz="2" w:space="0" w:color="BBBBBB"/>
            <w:bottom w:val="single" w:sz="2" w:space="0" w:color="BBBBBB"/>
            <w:right w:val="single" w:sz="2" w:space="0" w:color="BBBBBB"/>
          </w:divBdr>
          <w:divsChild>
            <w:div w:id="559291607">
              <w:marLeft w:val="0"/>
              <w:marRight w:val="0"/>
              <w:marTop w:val="0"/>
              <w:marBottom w:val="0"/>
              <w:divBdr>
                <w:top w:val="none" w:sz="0" w:space="0" w:color="auto"/>
                <w:left w:val="none" w:sz="0" w:space="0" w:color="auto"/>
                <w:bottom w:val="none" w:sz="0" w:space="0" w:color="auto"/>
                <w:right w:val="none" w:sz="0" w:space="0" w:color="auto"/>
              </w:divBdr>
              <w:divsChild>
                <w:div w:id="88089760">
                  <w:marLeft w:val="0"/>
                  <w:marRight w:val="0"/>
                  <w:marTop w:val="0"/>
                  <w:marBottom w:val="0"/>
                  <w:divBdr>
                    <w:top w:val="none" w:sz="0" w:space="0" w:color="auto"/>
                    <w:left w:val="none" w:sz="0" w:space="0" w:color="auto"/>
                    <w:bottom w:val="none" w:sz="0" w:space="0" w:color="auto"/>
                    <w:right w:val="none" w:sz="0" w:space="0" w:color="auto"/>
                  </w:divBdr>
                  <w:divsChild>
                    <w:div w:id="1846362283">
                      <w:marLeft w:val="0"/>
                      <w:marRight w:val="0"/>
                      <w:marTop w:val="0"/>
                      <w:marBottom w:val="0"/>
                      <w:divBdr>
                        <w:top w:val="none" w:sz="0" w:space="0" w:color="auto"/>
                        <w:left w:val="none" w:sz="0" w:space="0" w:color="auto"/>
                        <w:bottom w:val="none" w:sz="0" w:space="0" w:color="auto"/>
                        <w:right w:val="none" w:sz="0" w:space="0" w:color="auto"/>
                      </w:divBdr>
                      <w:divsChild>
                        <w:div w:id="1402410378">
                          <w:marLeft w:val="0"/>
                          <w:marRight w:val="0"/>
                          <w:marTop w:val="0"/>
                          <w:marBottom w:val="0"/>
                          <w:divBdr>
                            <w:top w:val="none" w:sz="0" w:space="0" w:color="auto"/>
                            <w:left w:val="none" w:sz="0" w:space="0" w:color="auto"/>
                            <w:bottom w:val="none" w:sz="0" w:space="0" w:color="auto"/>
                            <w:right w:val="none" w:sz="0" w:space="0" w:color="auto"/>
                          </w:divBdr>
                          <w:divsChild>
                            <w:div w:id="638729059">
                              <w:marLeft w:val="0"/>
                              <w:marRight w:val="0"/>
                              <w:marTop w:val="0"/>
                              <w:marBottom w:val="0"/>
                              <w:divBdr>
                                <w:top w:val="none" w:sz="0" w:space="0" w:color="auto"/>
                                <w:left w:val="none" w:sz="0" w:space="0" w:color="auto"/>
                                <w:bottom w:val="none" w:sz="0" w:space="0" w:color="auto"/>
                                <w:right w:val="none" w:sz="0" w:space="0" w:color="auto"/>
                              </w:divBdr>
                              <w:divsChild>
                                <w:div w:id="1009066317">
                                  <w:marLeft w:val="0"/>
                                  <w:marRight w:val="0"/>
                                  <w:marTop w:val="0"/>
                                  <w:marBottom w:val="0"/>
                                  <w:divBdr>
                                    <w:top w:val="none" w:sz="0" w:space="0" w:color="auto"/>
                                    <w:left w:val="none" w:sz="0" w:space="0" w:color="auto"/>
                                    <w:bottom w:val="none" w:sz="0" w:space="0" w:color="auto"/>
                                    <w:right w:val="none" w:sz="0" w:space="0" w:color="auto"/>
                                  </w:divBdr>
                                  <w:divsChild>
                                    <w:div w:id="510753815">
                                      <w:marLeft w:val="0"/>
                                      <w:marRight w:val="0"/>
                                      <w:marTop w:val="0"/>
                                      <w:marBottom w:val="0"/>
                                      <w:divBdr>
                                        <w:top w:val="none" w:sz="0" w:space="0" w:color="auto"/>
                                        <w:left w:val="none" w:sz="0" w:space="0" w:color="auto"/>
                                        <w:bottom w:val="none" w:sz="0" w:space="0" w:color="auto"/>
                                        <w:right w:val="none" w:sz="0" w:space="0" w:color="auto"/>
                                      </w:divBdr>
                                      <w:divsChild>
                                        <w:div w:id="1103838320">
                                          <w:marLeft w:val="1200"/>
                                          <w:marRight w:val="1200"/>
                                          <w:marTop w:val="0"/>
                                          <w:marBottom w:val="0"/>
                                          <w:divBdr>
                                            <w:top w:val="none" w:sz="0" w:space="0" w:color="auto"/>
                                            <w:left w:val="none" w:sz="0" w:space="0" w:color="auto"/>
                                            <w:bottom w:val="none" w:sz="0" w:space="0" w:color="auto"/>
                                            <w:right w:val="none" w:sz="0" w:space="0" w:color="auto"/>
                                          </w:divBdr>
                                          <w:divsChild>
                                            <w:div w:id="1483695680">
                                              <w:marLeft w:val="0"/>
                                              <w:marRight w:val="0"/>
                                              <w:marTop w:val="0"/>
                                              <w:marBottom w:val="0"/>
                                              <w:divBdr>
                                                <w:top w:val="none" w:sz="0" w:space="0" w:color="auto"/>
                                                <w:left w:val="none" w:sz="0" w:space="0" w:color="auto"/>
                                                <w:bottom w:val="none" w:sz="0" w:space="0" w:color="auto"/>
                                                <w:right w:val="none" w:sz="0" w:space="0" w:color="auto"/>
                                              </w:divBdr>
                                              <w:divsChild>
                                                <w:div w:id="244338089">
                                                  <w:marLeft w:val="0"/>
                                                  <w:marRight w:val="0"/>
                                                  <w:marTop w:val="0"/>
                                                  <w:marBottom w:val="0"/>
                                                  <w:divBdr>
                                                    <w:top w:val="single" w:sz="6" w:space="0" w:color="CCCCCC"/>
                                                    <w:left w:val="none" w:sz="0" w:space="0" w:color="auto"/>
                                                    <w:bottom w:val="none" w:sz="0" w:space="0" w:color="auto"/>
                                                    <w:right w:val="none" w:sz="0" w:space="0" w:color="auto"/>
                                                  </w:divBdr>
                                                  <w:divsChild>
                                                    <w:div w:id="1045059831">
                                                      <w:marLeft w:val="0"/>
                                                      <w:marRight w:val="135"/>
                                                      <w:marTop w:val="0"/>
                                                      <w:marBottom w:val="0"/>
                                                      <w:divBdr>
                                                        <w:top w:val="none" w:sz="0" w:space="0" w:color="auto"/>
                                                        <w:left w:val="none" w:sz="0" w:space="0" w:color="auto"/>
                                                        <w:bottom w:val="none" w:sz="0" w:space="0" w:color="auto"/>
                                                        <w:right w:val="none" w:sz="0" w:space="0" w:color="auto"/>
                                                      </w:divBdr>
                                                      <w:divsChild>
                                                        <w:div w:id="1170952546">
                                                          <w:marLeft w:val="0"/>
                                                          <w:marRight w:val="0"/>
                                                          <w:marTop w:val="0"/>
                                                          <w:marBottom w:val="0"/>
                                                          <w:divBdr>
                                                            <w:top w:val="none" w:sz="0" w:space="0" w:color="auto"/>
                                                            <w:left w:val="none" w:sz="0" w:space="0" w:color="auto"/>
                                                            <w:bottom w:val="none" w:sz="0" w:space="0" w:color="auto"/>
                                                            <w:right w:val="none" w:sz="0" w:space="0" w:color="auto"/>
                                                          </w:divBdr>
                                                          <w:divsChild>
                                                            <w:div w:id="1754660982">
                                                              <w:marLeft w:val="0"/>
                                                              <w:marRight w:val="0"/>
                                                              <w:marTop w:val="0"/>
                                                              <w:marBottom w:val="0"/>
                                                              <w:divBdr>
                                                                <w:top w:val="none" w:sz="0" w:space="0" w:color="auto"/>
                                                                <w:left w:val="none" w:sz="0" w:space="0" w:color="auto"/>
                                                                <w:bottom w:val="none" w:sz="0" w:space="0" w:color="auto"/>
                                                                <w:right w:val="none" w:sz="0" w:space="0" w:color="auto"/>
                                                              </w:divBdr>
                                                              <w:divsChild>
                                                                <w:div w:id="1602100365">
                                                                  <w:marLeft w:val="0"/>
                                                                  <w:marRight w:val="0"/>
                                                                  <w:marTop w:val="224"/>
                                                                  <w:marBottom w:val="0"/>
                                                                  <w:divBdr>
                                                                    <w:top w:val="none" w:sz="0" w:space="0" w:color="auto"/>
                                                                    <w:left w:val="none" w:sz="0" w:space="0" w:color="auto"/>
                                                                    <w:bottom w:val="none" w:sz="0" w:space="0" w:color="auto"/>
                                                                    <w:right w:val="none" w:sz="0" w:space="0" w:color="auto"/>
                                                                  </w:divBdr>
                                                                  <w:divsChild>
                                                                    <w:div w:id="573244172">
                                                                      <w:marLeft w:val="0"/>
                                                                      <w:marRight w:val="0"/>
                                                                      <w:marTop w:val="0"/>
                                                                      <w:marBottom w:val="0"/>
                                                                      <w:divBdr>
                                                                        <w:top w:val="none" w:sz="0" w:space="0" w:color="auto"/>
                                                                        <w:left w:val="none" w:sz="0" w:space="0" w:color="auto"/>
                                                                        <w:bottom w:val="none" w:sz="0" w:space="0" w:color="auto"/>
                                                                        <w:right w:val="none" w:sz="0" w:space="0" w:color="auto"/>
                                                                      </w:divBdr>
                                                                    </w:div>
                                                                  </w:divsChild>
                                                                </w:div>
                                                                <w:div w:id="1405908139">
                                                                  <w:marLeft w:val="0"/>
                                                                  <w:marRight w:val="0"/>
                                                                  <w:marTop w:val="0"/>
                                                                  <w:marBottom w:val="0"/>
                                                                  <w:divBdr>
                                                                    <w:top w:val="none" w:sz="0" w:space="0" w:color="auto"/>
                                                                    <w:left w:val="none" w:sz="0" w:space="0" w:color="auto"/>
                                                                    <w:bottom w:val="none" w:sz="0" w:space="0" w:color="auto"/>
                                                                    <w:right w:val="none" w:sz="0" w:space="0" w:color="auto"/>
                                                                  </w:divBdr>
                                                                  <w:divsChild>
                                                                    <w:div w:id="208493271">
                                                                      <w:marLeft w:val="0"/>
                                                                      <w:marRight w:val="0"/>
                                                                      <w:marTop w:val="0"/>
                                                                      <w:marBottom w:val="0"/>
                                                                      <w:divBdr>
                                                                        <w:top w:val="none" w:sz="0" w:space="0" w:color="auto"/>
                                                                        <w:left w:val="none" w:sz="0" w:space="0" w:color="auto"/>
                                                                        <w:bottom w:val="none" w:sz="0" w:space="0" w:color="auto"/>
                                                                        <w:right w:val="none" w:sz="0" w:space="0" w:color="auto"/>
                                                                      </w:divBdr>
                                                                      <w:divsChild>
                                                                        <w:div w:id="1179537581">
                                                                          <w:marLeft w:val="0"/>
                                                                          <w:marRight w:val="0"/>
                                                                          <w:marTop w:val="224"/>
                                                                          <w:marBottom w:val="0"/>
                                                                          <w:divBdr>
                                                                            <w:top w:val="none" w:sz="0" w:space="0" w:color="auto"/>
                                                                            <w:left w:val="none" w:sz="0" w:space="0" w:color="auto"/>
                                                                            <w:bottom w:val="none" w:sz="0" w:space="0" w:color="auto"/>
                                                                            <w:right w:val="none" w:sz="0" w:space="0" w:color="auto"/>
                                                                          </w:divBdr>
                                                                          <w:divsChild>
                                                                            <w:div w:id="193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0234">
                                                                      <w:marLeft w:val="0"/>
                                                                      <w:marRight w:val="0"/>
                                                                      <w:marTop w:val="0"/>
                                                                      <w:marBottom w:val="0"/>
                                                                      <w:divBdr>
                                                                        <w:top w:val="none" w:sz="0" w:space="0" w:color="auto"/>
                                                                        <w:left w:val="none" w:sz="0" w:space="0" w:color="auto"/>
                                                                        <w:bottom w:val="none" w:sz="0" w:space="0" w:color="auto"/>
                                                                        <w:right w:val="none" w:sz="0" w:space="0" w:color="auto"/>
                                                                      </w:divBdr>
                                                                      <w:divsChild>
                                                                        <w:div w:id="886112538">
                                                                          <w:marLeft w:val="0"/>
                                                                          <w:marRight w:val="0"/>
                                                                          <w:marTop w:val="224"/>
                                                                          <w:marBottom w:val="0"/>
                                                                          <w:divBdr>
                                                                            <w:top w:val="none" w:sz="0" w:space="0" w:color="auto"/>
                                                                            <w:left w:val="none" w:sz="0" w:space="0" w:color="auto"/>
                                                                            <w:bottom w:val="none" w:sz="0" w:space="0" w:color="auto"/>
                                                                            <w:right w:val="none" w:sz="0" w:space="0" w:color="auto"/>
                                                                          </w:divBdr>
                                                                          <w:divsChild>
                                                                            <w:div w:id="688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4077">
                                                                  <w:marLeft w:val="0"/>
                                                                  <w:marRight w:val="0"/>
                                                                  <w:marTop w:val="224"/>
                                                                  <w:marBottom w:val="0"/>
                                                                  <w:divBdr>
                                                                    <w:top w:val="none" w:sz="0" w:space="0" w:color="auto"/>
                                                                    <w:left w:val="none" w:sz="0" w:space="0" w:color="auto"/>
                                                                    <w:bottom w:val="none" w:sz="0" w:space="0" w:color="auto"/>
                                                                    <w:right w:val="none" w:sz="0" w:space="0" w:color="auto"/>
                                                                  </w:divBdr>
                                                                  <w:divsChild>
                                                                    <w:div w:id="1851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pencer@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practicallaw.thomsonreuters.com/5-581-1365?originationContext=document&amp;transitionType=PLDocumentLink&amp;contextData=%28sc.Default%29&amp;navId=9C8906304D05EA4834F759E19144EEF6&amp;comp=pl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68E3-9F79-4F76-B980-2E43F442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BF65D5DF</Template>
  <TotalTime>25</TotalTime>
  <Pages>9</Pages>
  <Words>3190</Words>
  <Characters>17294</Characters>
  <Application>Microsoft Office Word</Application>
  <DocSecurity>0</DocSecurity>
  <Lines>786</Lines>
  <Paragraphs>211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pspencer</dc:creator>
  <cp:lastModifiedBy>JMitchell</cp:lastModifiedBy>
  <cp:revision>4</cp:revision>
  <cp:lastPrinted>2020-01-14T13:53:00Z</cp:lastPrinted>
  <dcterms:created xsi:type="dcterms:W3CDTF">2020-01-14T13:53:00Z</dcterms:created>
  <dcterms:modified xsi:type="dcterms:W3CDTF">2020-01-14T15:10:00Z</dcterms:modified>
</cp:coreProperties>
</file>